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C7" w:rsidRPr="002F42C7" w:rsidRDefault="002F42C7" w:rsidP="002F42C7">
      <w:pPr>
        <w:spacing w:before="100" w:beforeAutospacing="1" w:after="100" w:afterAutospacing="1" w:line="240" w:lineRule="auto"/>
        <w:jc w:val="center"/>
        <w:rPr>
          <w:rFonts w:ascii="Tahoma" w:eastAsia="Times New Roman" w:hAnsi="Tahoma" w:cs="Tahoma"/>
          <w:sz w:val="21"/>
          <w:szCs w:val="21"/>
          <w:lang w:eastAsia="ru-RU"/>
        </w:rPr>
      </w:pPr>
      <w:r w:rsidRPr="002F42C7">
        <w:rPr>
          <w:rFonts w:ascii="Tahoma" w:eastAsia="Times New Roman" w:hAnsi="Tahoma" w:cs="Tahoma"/>
          <w:sz w:val="21"/>
          <w:szCs w:val="21"/>
          <w:lang w:eastAsia="ru-RU"/>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2F42C7" w:rsidRPr="002F42C7" w:rsidRDefault="002F42C7" w:rsidP="002F42C7">
      <w:pPr>
        <w:spacing w:before="100" w:beforeAutospacing="1" w:after="100" w:afterAutospacing="1" w:line="240" w:lineRule="auto"/>
        <w:jc w:val="center"/>
        <w:rPr>
          <w:rFonts w:ascii="Tahoma" w:eastAsia="Times New Roman" w:hAnsi="Tahoma" w:cs="Tahoma"/>
          <w:sz w:val="21"/>
          <w:szCs w:val="21"/>
          <w:lang w:eastAsia="ru-RU"/>
        </w:rPr>
      </w:pPr>
      <w:r w:rsidRPr="002F42C7">
        <w:rPr>
          <w:rFonts w:ascii="Tahoma" w:eastAsia="Times New Roman" w:hAnsi="Tahoma" w:cs="Tahoma"/>
          <w:sz w:val="21"/>
          <w:szCs w:val="21"/>
          <w:lang w:eastAsia="ru-RU"/>
        </w:rPr>
        <w:t>от 04.07.2014 ПВК</w:t>
      </w:r>
      <w:proofErr w:type="gramStart"/>
      <w:r w:rsidRPr="002F42C7">
        <w:rPr>
          <w:rFonts w:ascii="Tahoma" w:eastAsia="Times New Roman" w:hAnsi="Tahoma" w:cs="Tahoma"/>
          <w:sz w:val="21"/>
          <w:szCs w:val="21"/>
          <w:lang w:eastAsia="ru-RU"/>
        </w:rPr>
        <w:t>1</w:t>
      </w:r>
      <w:proofErr w:type="gramEnd"/>
      <w:r w:rsidRPr="002F42C7">
        <w:rPr>
          <w:rFonts w:ascii="Tahoma" w:eastAsia="Times New Roman" w:hAnsi="Tahoma" w:cs="Tahoma"/>
          <w:sz w:val="21"/>
          <w:szCs w:val="21"/>
          <w:lang w:eastAsia="ru-RU"/>
        </w:rPr>
        <w:t xml:space="preserve"> для закупки №0133300001714000562</w:t>
      </w:r>
    </w:p>
    <w:tbl>
      <w:tblPr>
        <w:tblW w:w="5000" w:type="pct"/>
        <w:tblCellMar>
          <w:left w:w="300" w:type="dxa"/>
          <w:right w:w="300" w:type="dxa"/>
        </w:tblCellMar>
        <w:tblLook w:val="04A0" w:firstRow="1" w:lastRow="0" w:firstColumn="1" w:lastColumn="0" w:noHBand="0" w:noVBand="1"/>
      </w:tblPr>
      <w:tblGrid>
        <w:gridCol w:w="4977"/>
        <w:gridCol w:w="2489"/>
        <w:gridCol w:w="2489"/>
      </w:tblGrid>
      <w:tr w:rsidR="002F42C7" w:rsidRPr="002F42C7" w:rsidTr="002F42C7">
        <w:tc>
          <w:tcPr>
            <w:tcW w:w="2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c>
          <w:tcPr>
            <w:tcW w:w="125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r>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Российская Федерация, 153000, Ивановская </w:t>
            </w:r>
            <w:proofErr w:type="spellStart"/>
            <w:proofErr w:type="gramStart"/>
            <w:r w:rsidRPr="002F42C7">
              <w:rPr>
                <w:rFonts w:ascii="Tahoma" w:eastAsia="Times New Roman" w:hAnsi="Tahoma" w:cs="Tahoma"/>
                <w:sz w:val="21"/>
                <w:szCs w:val="21"/>
                <w:lang w:eastAsia="ru-RU"/>
              </w:rPr>
              <w:t>обл</w:t>
            </w:r>
            <w:proofErr w:type="spellEnd"/>
            <w:proofErr w:type="gramEnd"/>
            <w:r w:rsidRPr="002F42C7">
              <w:rPr>
                <w:rFonts w:ascii="Tahoma" w:eastAsia="Times New Roman" w:hAnsi="Tahoma" w:cs="Tahoma"/>
                <w:sz w:val="21"/>
                <w:szCs w:val="21"/>
                <w:lang w:eastAsia="ru-RU"/>
              </w:rPr>
              <w:t>, Иваново г, площадь Революции, 6, 220</w:t>
            </w: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03 июля 2014</w:t>
            </w:r>
          </w:p>
        </w:tc>
      </w:tr>
      <w:tr w:rsidR="002F42C7" w:rsidRPr="002F42C7" w:rsidTr="002F42C7">
        <w:tc>
          <w:tcPr>
            <w:tcW w:w="0" w:type="auto"/>
            <w:vAlign w:val="center"/>
            <w:hideMark/>
          </w:tcPr>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(Место вскрытия конвертов и открытия доступа к электронным документам заявок участников)</w:t>
            </w: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(дата подписания протокола)</w:t>
            </w:r>
          </w:p>
        </w:tc>
      </w:tr>
    </w:tbl>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1. Повестка дня</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proofErr w:type="gramStart"/>
      <w:r w:rsidRPr="002F42C7">
        <w:rPr>
          <w:rFonts w:ascii="Tahoma" w:eastAsia="Times New Roman" w:hAnsi="Tahoma" w:cs="Tahoma"/>
          <w:sz w:val="21"/>
          <w:szCs w:val="21"/>
          <w:lang w:eastAsia="ru-RU"/>
        </w:rPr>
        <w:t>Повесткой дня является 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Федеральный закон № 44-ФЗ).</w:t>
      </w:r>
      <w:proofErr w:type="gramEnd"/>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Извещение о проведении открытого конкурса размещено на официальном сайте www.zakupki.gov.ru "Извещение о проведении открытого конкурса" от 18.06.2014 №0133300001714000562.</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проведено 03.07.2014 11:00 по адресу Российская Федерация, 153000, Ивановская </w:t>
      </w:r>
      <w:proofErr w:type="spellStart"/>
      <w:proofErr w:type="gramStart"/>
      <w:r w:rsidRPr="002F42C7">
        <w:rPr>
          <w:rFonts w:ascii="Tahoma" w:eastAsia="Times New Roman" w:hAnsi="Tahoma" w:cs="Tahoma"/>
          <w:sz w:val="21"/>
          <w:szCs w:val="21"/>
          <w:lang w:eastAsia="ru-RU"/>
        </w:rPr>
        <w:t>обл</w:t>
      </w:r>
      <w:proofErr w:type="spellEnd"/>
      <w:proofErr w:type="gramEnd"/>
      <w:r w:rsidRPr="002F42C7">
        <w:rPr>
          <w:rFonts w:ascii="Tahoma" w:eastAsia="Times New Roman" w:hAnsi="Tahoma" w:cs="Tahoma"/>
          <w:sz w:val="21"/>
          <w:szCs w:val="21"/>
          <w:lang w:eastAsia="ru-RU"/>
        </w:rPr>
        <w:t>, Иваново г, площадь Революции, 6, 220</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В процессе проведения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велась аудиозапись.</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Непосредственно </w:t>
      </w:r>
      <w:proofErr w:type="gramStart"/>
      <w:r w:rsidRPr="002F42C7">
        <w:rPr>
          <w:rFonts w:ascii="Tahoma" w:eastAsia="Times New Roman" w:hAnsi="Tahoma" w:cs="Tahoma"/>
          <w:sz w:val="21"/>
          <w:szCs w:val="21"/>
          <w:lang w:eastAsia="ru-RU"/>
        </w:rPr>
        <w:t>перед вскрытием конвертов с заявками на участие в открытом конкурсе в отношении</w:t>
      </w:r>
      <w:proofErr w:type="gramEnd"/>
      <w:r w:rsidRPr="002F42C7">
        <w:rPr>
          <w:rFonts w:ascii="Tahoma" w:eastAsia="Times New Roman" w:hAnsi="Tahoma" w:cs="Tahoma"/>
          <w:sz w:val="21"/>
          <w:szCs w:val="21"/>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proofErr w:type="gramStart"/>
      <w:r w:rsidRPr="002F42C7">
        <w:rPr>
          <w:rFonts w:ascii="Tahoma" w:eastAsia="Times New Roman" w:hAnsi="Tahoma" w:cs="Tahoma"/>
          <w:sz w:val="21"/>
          <w:szCs w:val="21"/>
          <w:lang w:eastAsia="ru-RU"/>
        </w:rPr>
        <w:t>При вскрытии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была объявлена информация:</w:t>
      </w:r>
      <w:r w:rsidRPr="002F42C7">
        <w:rPr>
          <w:rFonts w:ascii="Tahoma" w:eastAsia="Times New Roman" w:hAnsi="Tahoma" w:cs="Tahoma"/>
          <w:sz w:val="21"/>
          <w:szCs w:val="21"/>
          <w:lang w:eastAsia="ru-RU"/>
        </w:rPr>
        <w:br/>
        <w:t>-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r w:rsidRPr="002F42C7">
        <w:rPr>
          <w:rFonts w:ascii="Tahoma" w:eastAsia="Times New Roman" w:hAnsi="Tahoma" w:cs="Tahoma"/>
          <w:sz w:val="21"/>
          <w:szCs w:val="21"/>
          <w:lang w:eastAsia="ru-RU"/>
        </w:rPr>
        <w:b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2F42C7">
        <w:rPr>
          <w:rFonts w:ascii="Tahoma" w:eastAsia="Times New Roman" w:hAnsi="Tahoma" w:cs="Tahoma"/>
          <w:sz w:val="21"/>
          <w:szCs w:val="21"/>
          <w:lang w:eastAsia="ru-RU"/>
        </w:rPr>
        <w:t>конверт</w:t>
      </w:r>
      <w:proofErr w:type="gramEnd"/>
      <w:r w:rsidRPr="002F42C7">
        <w:rPr>
          <w:rFonts w:ascii="Tahoma" w:eastAsia="Times New Roman" w:hAnsi="Tahoma" w:cs="Tahoma"/>
          <w:sz w:val="21"/>
          <w:szCs w:val="21"/>
          <w:lang w:eastAsia="ru-RU"/>
        </w:rPr>
        <w:t xml:space="preserve"> с заявкой которого вскрывается или доступ к поданной в форме электронного документа заявке которого открывается;</w:t>
      </w:r>
      <w:r w:rsidRPr="002F42C7">
        <w:rPr>
          <w:rFonts w:ascii="Tahoma" w:eastAsia="Times New Roman" w:hAnsi="Tahoma" w:cs="Tahoma"/>
          <w:sz w:val="21"/>
          <w:szCs w:val="21"/>
          <w:lang w:eastAsia="ru-RU"/>
        </w:rPr>
        <w:br/>
        <w:t>- наличие информации и документов, предусмотренных конкурсной документацией;</w:t>
      </w:r>
      <w:r w:rsidRPr="002F42C7">
        <w:rPr>
          <w:rFonts w:ascii="Tahoma" w:eastAsia="Times New Roman" w:hAnsi="Tahoma" w:cs="Tahoma"/>
          <w:sz w:val="21"/>
          <w:szCs w:val="21"/>
          <w:lang w:eastAsia="ru-RU"/>
        </w:rPr>
        <w:br/>
        <w:t>- условия исполнения контракта, указанные в заявке на участие в открытом конкурсе и являющиеся критерием оценки заявок на участие в открытом конкурсе.</w:t>
      </w:r>
    </w:p>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2. Существенные условия контракта</w:t>
      </w:r>
    </w:p>
    <w:tbl>
      <w:tblPr>
        <w:tblW w:w="5000" w:type="pct"/>
        <w:tblCellMar>
          <w:left w:w="0" w:type="dxa"/>
          <w:right w:w="0" w:type="dxa"/>
        </w:tblCellMar>
        <w:tblLook w:val="04A0" w:firstRow="1" w:lastRow="0" w:firstColumn="1" w:lastColumn="0" w:noHBand="0" w:noVBand="1"/>
      </w:tblPr>
      <w:tblGrid>
        <w:gridCol w:w="9355"/>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lastRenderedPageBreak/>
              <w:t>Номер и наименование объекта закупки:</w:t>
            </w:r>
          </w:p>
        </w:tc>
      </w:tr>
    </w:tbl>
    <w:p w:rsidR="002F42C7" w:rsidRPr="002F42C7" w:rsidRDefault="002F42C7" w:rsidP="002F42C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9355"/>
      </w:tblGrid>
      <w:tr w:rsidR="002F42C7" w:rsidRPr="002F42C7" w:rsidTr="002F42C7">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Закупка №0133300001714000562 «Выполнение научно-исследовательской работы «Регламентация видов и порядка определения стоимости платных услуг, оказываемых муниципальными учреждениями»</w:t>
            </w:r>
            <w:proofErr w:type="gramStart"/>
            <w:r w:rsidRPr="002F42C7">
              <w:rPr>
                <w:rFonts w:ascii="Tahoma" w:eastAsia="Times New Roman" w:hAnsi="Tahoma" w:cs="Tahoma"/>
                <w:sz w:val="21"/>
                <w:szCs w:val="21"/>
                <w:lang w:eastAsia="ru-RU"/>
              </w:rPr>
              <w:t>.»</w:t>
            </w:r>
            <w:proofErr w:type="gramEnd"/>
          </w:p>
        </w:tc>
      </w:tr>
    </w:tbl>
    <w:p w:rsidR="002F42C7" w:rsidRPr="002F42C7" w:rsidRDefault="002F42C7" w:rsidP="002F42C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3772"/>
        <w:gridCol w:w="5583"/>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Начальная (максимальная) цена контракта: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900000.00 Российский рубль (девятьсот тысяч рублей ноль копеек)</w:t>
            </w:r>
          </w:p>
        </w:tc>
      </w:tr>
    </w:tbl>
    <w:p w:rsidR="002F42C7" w:rsidRPr="002F42C7" w:rsidRDefault="002F42C7" w:rsidP="002F42C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4970"/>
        <w:gridCol w:w="4385"/>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Источник финансирования: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Бюджет города Иванова </w:t>
            </w:r>
          </w:p>
        </w:tc>
      </w:tr>
    </w:tbl>
    <w:p w:rsidR="002F42C7" w:rsidRPr="002F42C7" w:rsidRDefault="002F42C7" w:rsidP="002F42C7">
      <w:pPr>
        <w:spacing w:after="0" w:line="240" w:lineRule="auto"/>
        <w:rPr>
          <w:rFonts w:ascii="Tahoma" w:eastAsia="Times New Roman" w:hAnsi="Tahoma" w:cs="Tahoma"/>
          <w:vanish/>
          <w:sz w:val="21"/>
          <w:szCs w:val="21"/>
          <w:lang w:eastAsia="ru-RU"/>
        </w:rPr>
      </w:pPr>
    </w:p>
    <w:tbl>
      <w:tblPr>
        <w:tblW w:w="5000" w:type="pct"/>
        <w:tblCellMar>
          <w:left w:w="0" w:type="dxa"/>
          <w:right w:w="0" w:type="dxa"/>
        </w:tblCellMar>
        <w:tblLook w:val="04A0" w:firstRow="1" w:lastRow="0" w:firstColumn="1" w:lastColumn="0" w:noHBand="0" w:noVBand="1"/>
      </w:tblPr>
      <w:tblGrid>
        <w:gridCol w:w="5396"/>
        <w:gridCol w:w="3959"/>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Место доставки товара, выполнения работы или оказания услуги: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153000, г. Иваново, пл. Революции, д.6, оф.708</w:t>
            </w:r>
          </w:p>
        </w:tc>
      </w:tr>
    </w:tbl>
    <w:p w:rsidR="002F42C7" w:rsidRPr="002F42C7" w:rsidRDefault="002F42C7" w:rsidP="002F42C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5877"/>
        <w:gridCol w:w="3478"/>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Сроки поставки товара или завершения работы либо график оказания услуг: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Со дня подписания контракта до 01.11.2014</w:t>
            </w:r>
          </w:p>
        </w:tc>
      </w:tr>
    </w:tbl>
    <w:p w:rsidR="002F42C7" w:rsidRPr="002F42C7" w:rsidRDefault="002F42C7" w:rsidP="002F42C7">
      <w:pPr>
        <w:spacing w:after="24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3. Информация о заказчике</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u w:val="single"/>
          <w:lang w:eastAsia="ru-RU"/>
        </w:rPr>
        <w:t>Финансово-казначейское управление Администрации города Иванова.</w:t>
      </w:r>
    </w:p>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4. Информация о комиссии</w:t>
      </w:r>
    </w:p>
    <w:p w:rsidR="002F42C7" w:rsidRPr="002F42C7" w:rsidRDefault="002F42C7" w:rsidP="002F42C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606"/>
        <w:gridCol w:w="7749"/>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Комиссия: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Конкурсная комиссия по осуществлению закупок</w:t>
            </w:r>
          </w:p>
        </w:tc>
      </w:tr>
    </w:tbl>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proofErr w:type="gramStart"/>
      <w:r w:rsidRPr="002F42C7">
        <w:rPr>
          <w:rFonts w:ascii="Tahoma" w:eastAsia="Times New Roman" w:hAnsi="Tahoma" w:cs="Tahoma"/>
          <w:sz w:val="21"/>
          <w:szCs w:val="21"/>
          <w:lang w:eastAsia="ru-RU"/>
        </w:rPr>
        <w:t>На заседании комиссии по вскрытию конвертов с заявками на участие в открытом конкурсе</w:t>
      </w:r>
      <w:proofErr w:type="gramEnd"/>
      <w:r w:rsidRPr="002F42C7">
        <w:rPr>
          <w:rFonts w:ascii="Tahoma" w:eastAsia="Times New Roman" w:hAnsi="Tahoma" w:cs="Tahoma"/>
          <w:sz w:val="21"/>
          <w:szCs w:val="21"/>
          <w:lang w:eastAsia="ru-RU"/>
        </w:rPr>
        <w:t xml:space="preserve"> и (или) открытию доступа к поданным в форме электронных документов заявкам на участие в открытом конкурсе присутствовали:</w:t>
      </w:r>
    </w:p>
    <w:p w:rsidR="002F42C7" w:rsidRPr="002F42C7" w:rsidRDefault="002F42C7" w:rsidP="002F42C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244"/>
        <w:gridCol w:w="5111"/>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Председатель комиссии: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Абрамова Наталья Борисовна</w:t>
            </w:r>
          </w:p>
        </w:tc>
      </w:tr>
    </w:tbl>
    <w:p w:rsidR="002F42C7" w:rsidRPr="002F42C7" w:rsidRDefault="002F42C7" w:rsidP="002F42C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4635"/>
        <w:gridCol w:w="4720"/>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Зам. председателя комиссии: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Седых Екатерина Леонидовна</w:t>
            </w:r>
          </w:p>
        </w:tc>
      </w:tr>
    </w:tbl>
    <w:p w:rsidR="002F42C7" w:rsidRPr="002F42C7" w:rsidRDefault="002F42C7" w:rsidP="002F42C7">
      <w:pPr>
        <w:spacing w:after="0" w:line="240" w:lineRule="auto"/>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1968"/>
        <w:gridCol w:w="7387"/>
      </w:tblGrid>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Секретарь: </w:t>
            </w:r>
          </w:p>
        </w:tc>
        <w:tc>
          <w:tcPr>
            <w:tcW w:w="0" w:type="auto"/>
            <w:tcBorders>
              <w:bottom w:val="single" w:sz="6" w:space="0" w:color="000000"/>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roofErr w:type="spellStart"/>
            <w:r w:rsidRPr="002F42C7">
              <w:rPr>
                <w:rFonts w:ascii="Tahoma" w:eastAsia="Times New Roman" w:hAnsi="Tahoma" w:cs="Tahoma"/>
                <w:sz w:val="21"/>
                <w:szCs w:val="21"/>
                <w:lang w:eastAsia="ru-RU"/>
              </w:rPr>
              <w:t>Шарафутдинова</w:t>
            </w:r>
            <w:proofErr w:type="spellEnd"/>
            <w:r w:rsidRPr="002F42C7">
              <w:rPr>
                <w:rFonts w:ascii="Tahoma" w:eastAsia="Times New Roman" w:hAnsi="Tahoma" w:cs="Tahoma"/>
                <w:sz w:val="21"/>
                <w:szCs w:val="21"/>
                <w:lang w:eastAsia="ru-RU"/>
              </w:rPr>
              <w:t xml:space="preserve"> Светлана Владимировна</w:t>
            </w:r>
          </w:p>
        </w:tc>
      </w:tr>
    </w:tbl>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Количество присутствовавших членов комиссии: </w:t>
      </w:r>
      <w:r w:rsidRPr="002F42C7">
        <w:rPr>
          <w:rFonts w:ascii="Tahoma" w:eastAsia="Times New Roman" w:hAnsi="Tahoma" w:cs="Tahoma"/>
          <w:sz w:val="21"/>
          <w:szCs w:val="21"/>
          <w:u w:val="single"/>
          <w:lang w:eastAsia="ru-RU"/>
        </w:rPr>
        <w:t>3</w:t>
      </w:r>
      <w:r w:rsidRPr="002F42C7">
        <w:rPr>
          <w:rFonts w:ascii="Tahoma" w:eastAsia="Times New Roman" w:hAnsi="Tahoma" w:cs="Tahoma"/>
          <w:sz w:val="21"/>
          <w:szCs w:val="21"/>
          <w:lang w:eastAsia="ru-RU"/>
        </w:rPr>
        <w:t xml:space="preserve"> (</w:t>
      </w:r>
      <w:r w:rsidRPr="002F42C7">
        <w:rPr>
          <w:rFonts w:ascii="Tahoma" w:eastAsia="Times New Roman" w:hAnsi="Tahoma" w:cs="Tahoma"/>
          <w:sz w:val="21"/>
          <w:szCs w:val="21"/>
          <w:u w:val="single"/>
          <w:lang w:eastAsia="ru-RU"/>
        </w:rPr>
        <w:t>три</w:t>
      </w:r>
      <w:r w:rsidRPr="002F42C7">
        <w:rPr>
          <w:rFonts w:ascii="Tahoma" w:eastAsia="Times New Roman" w:hAnsi="Tahoma" w:cs="Tahoma"/>
          <w:sz w:val="21"/>
          <w:szCs w:val="21"/>
          <w:lang w:eastAsia="ru-RU"/>
        </w:rPr>
        <w:t>).</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из </w:t>
      </w:r>
      <w:proofErr w:type="gramStart"/>
      <w:r w:rsidRPr="002F42C7">
        <w:rPr>
          <w:rFonts w:ascii="Tahoma" w:eastAsia="Times New Roman" w:hAnsi="Tahoma" w:cs="Tahoma"/>
          <w:sz w:val="21"/>
          <w:szCs w:val="21"/>
          <w:lang w:eastAsia="ru-RU"/>
        </w:rPr>
        <w:t>них</w:t>
      </w:r>
      <w:proofErr w:type="gramEnd"/>
      <w:r w:rsidRPr="002F42C7">
        <w:rPr>
          <w:rFonts w:ascii="Tahoma" w:eastAsia="Times New Roman" w:hAnsi="Tahoma" w:cs="Tahoma"/>
          <w:sz w:val="21"/>
          <w:szCs w:val="21"/>
          <w:lang w:eastAsia="ru-RU"/>
        </w:rPr>
        <w:t xml:space="preserve"> не голосующие члены комиссии отсутствуют.</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Комиссия правомочна осуществлять свои функции в соответствии с частью 8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кворум имеется.</w:t>
      </w:r>
    </w:p>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 xml:space="preserve">5. Заявки на участие в открытом конкурсе </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lastRenderedPageBreak/>
        <w:t>По окончании срока подачи заявок на участие в открытом конкурсе подана только одна заявка на участие в открытом конкурсе. Конкурс признан несостоявшимся по основанию, предусмотренному частью 13 статьи 51 Федерального закона № 44-ФЗ.</w:t>
      </w:r>
    </w:p>
    <w:tbl>
      <w:tblPr>
        <w:tblW w:w="5000" w:type="pct"/>
        <w:tblCellMar>
          <w:left w:w="0" w:type="dxa"/>
          <w:right w:w="0" w:type="dxa"/>
        </w:tblCellMar>
        <w:tblLook w:val="04A0" w:firstRow="1" w:lastRow="0" w:firstColumn="1" w:lastColumn="0" w:noHBand="0" w:noVBand="1"/>
      </w:tblPr>
      <w:tblGrid>
        <w:gridCol w:w="755"/>
        <w:gridCol w:w="1045"/>
        <w:gridCol w:w="2535"/>
        <w:gridCol w:w="1584"/>
        <w:gridCol w:w="2142"/>
        <w:gridCol w:w="1294"/>
      </w:tblGrid>
      <w:tr w:rsidR="002F42C7" w:rsidRPr="002F42C7" w:rsidTr="002F42C7">
        <w:tc>
          <w:tcPr>
            <w:tcW w:w="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Номер заявки</w:t>
            </w:r>
          </w:p>
        </w:tc>
        <w:tc>
          <w:tcPr>
            <w:tcW w:w="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Дата и время подачи заявки</w:t>
            </w:r>
          </w:p>
        </w:tc>
        <w:tc>
          <w:tcPr>
            <w:tcW w:w="2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Информация об участнике</w:t>
            </w:r>
          </w:p>
        </w:tc>
        <w:tc>
          <w:tcPr>
            <w:tcW w:w="75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Предлагаемая цена (стоимость), Российский рубль</w:t>
            </w:r>
          </w:p>
        </w:tc>
        <w:tc>
          <w:tcPr>
            <w:tcW w:w="750" w:type="pct"/>
            <w:gridSpan w:val="2"/>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Наличие в заявке информации и документов, предусмотренных конкурсной документацией</w:t>
            </w:r>
          </w:p>
        </w:tc>
      </w:tr>
      <w:tr w:rsidR="002F42C7" w:rsidRPr="002F42C7" w:rsidTr="002F42C7">
        <w:tc>
          <w:tcPr>
            <w:tcW w:w="0" w:type="auto"/>
            <w:vMerge w:val="restart"/>
            <w:tcMar>
              <w:top w:w="150" w:type="dxa"/>
              <w:left w:w="0" w:type="dxa"/>
              <w:bottom w:w="150" w:type="dxa"/>
              <w:right w:w="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w:t>
            </w:r>
          </w:p>
        </w:tc>
        <w:tc>
          <w:tcPr>
            <w:tcW w:w="0" w:type="auto"/>
            <w:vMerge w:val="restart"/>
            <w:tcMar>
              <w:top w:w="150" w:type="dxa"/>
              <w:left w:w="0" w:type="dxa"/>
              <w:bottom w:w="150" w:type="dxa"/>
              <w:right w:w="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23.06.2014 15:05</w:t>
            </w:r>
          </w:p>
        </w:tc>
        <w:tc>
          <w:tcPr>
            <w:tcW w:w="0" w:type="auto"/>
            <w:vMerge w:val="restart"/>
            <w:tcMar>
              <w:top w:w="150" w:type="dxa"/>
              <w:left w:w="0" w:type="dxa"/>
              <w:bottom w:w="150" w:type="dxa"/>
              <w:right w:w="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Общество с ограниченной </w:t>
            </w:r>
            <w:proofErr w:type="spellStart"/>
            <w:r w:rsidRPr="002F42C7">
              <w:rPr>
                <w:rFonts w:ascii="Tahoma" w:eastAsia="Times New Roman" w:hAnsi="Tahoma" w:cs="Tahoma"/>
                <w:sz w:val="21"/>
                <w:szCs w:val="21"/>
                <w:lang w:eastAsia="ru-RU"/>
              </w:rPr>
              <w:t>ответственность</w:t>
            </w:r>
            <w:proofErr w:type="gramStart"/>
            <w:r w:rsidRPr="002F42C7">
              <w:rPr>
                <w:rFonts w:ascii="Tahoma" w:eastAsia="Times New Roman" w:hAnsi="Tahoma" w:cs="Tahoma"/>
                <w:sz w:val="21"/>
                <w:szCs w:val="21"/>
                <w:lang w:eastAsia="ru-RU"/>
              </w:rPr>
              <w:t>ю"</w:t>
            </w:r>
            <w:proofErr w:type="gramEnd"/>
            <w:r w:rsidRPr="002F42C7">
              <w:rPr>
                <w:rFonts w:ascii="Tahoma" w:eastAsia="Times New Roman" w:hAnsi="Tahoma" w:cs="Tahoma"/>
                <w:sz w:val="21"/>
                <w:szCs w:val="21"/>
                <w:lang w:eastAsia="ru-RU"/>
              </w:rPr>
              <w:t>Про</w:t>
            </w:r>
            <w:proofErr w:type="spellEnd"/>
            <w:r w:rsidRPr="002F42C7">
              <w:rPr>
                <w:rFonts w:ascii="Tahoma" w:eastAsia="Times New Roman" w:hAnsi="Tahoma" w:cs="Tahoma"/>
                <w:sz w:val="21"/>
                <w:szCs w:val="21"/>
                <w:lang w:eastAsia="ru-RU"/>
              </w:rPr>
              <w:t>-Грамма" Общество с ограниченной ответственностью</w:t>
            </w:r>
            <w:r w:rsidRPr="002F42C7">
              <w:rPr>
                <w:rFonts w:ascii="Tahoma" w:eastAsia="Times New Roman" w:hAnsi="Tahoma" w:cs="Tahoma"/>
                <w:sz w:val="21"/>
                <w:szCs w:val="21"/>
                <w:lang w:eastAsia="ru-RU"/>
              </w:rPr>
              <w:br/>
              <w:t>ИНН: 7729534927</w:t>
            </w:r>
            <w:r w:rsidRPr="002F42C7">
              <w:rPr>
                <w:rFonts w:ascii="Tahoma" w:eastAsia="Times New Roman" w:hAnsi="Tahoma" w:cs="Tahoma"/>
                <w:sz w:val="21"/>
                <w:szCs w:val="21"/>
                <w:lang w:eastAsia="ru-RU"/>
              </w:rPr>
              <w:br/>
              <w:t>КПП: 773301001</w:t>
            </w:r>
            <w:r w:rsidRPr="002F42C7">
              <w:rPr>
                <w:rFonts w:ascii="Tahoma" w:eastAsia="Times New Roman" w:hAnsi="Tahoma" w:cs="Tahoma"/>
                <w:sz w:val="21"/>
                <w:szCs w:val="21"/>
                <w:lang w:eastAsia="ru-RU"/>
              </w:rPr>
              <w:br/>
              <w:t xml:space="preserve">125466, Российская Федерация, г. Москва, улица </w:t>
            </w:r>
            <w:proofErr w:type="spellStart"/>
            <w:r w:rsidRPr="002F42C7">
              <w:rPr>
                <w:rFonts w:ascii="Tahoma" w:eastAsia="Times New Roman" w:hAnsi="Tahoma" w:cs="Tahoma"/>
                <w:sz w:val="21"/>
                <w:szCs w:val="21"/>
                <w:lang w:eastAsia="ru-RU"/>
              </w:rPr>
              <w:t>Родионовская</w:t>
            </w:r>
            <w:proofErr w:type="spellEnd"/>
            <w:r w:rsidRPr="002F42C7">
              <w:rPr>
                <w:rFonts w:ascii="Tahoma" w:eastAsia="Times New Roman" w:hAnsi="Tahoma" w:cs="Tahoma"/>
                <w:sz w:val="21"/>
                <w:szCs w:val="21"/>
                <w:lang w:eastAsia="ru-RU"/>
              </w:rPr>
              <w:t>, д.10, корп. 1, офис 6</w:t>
            </w:r>
          </w:p>
        </w:tc>
        <w:tc>
          <w:tcPr>
            <w:tcW w:w="0" w:type="auto"/>
            <w:vMerge w:val="restart"/>
            <w:tcMar>
              <w:top w:w="150" w:type="dxa"/>
              <w:left w:w="0" w:type="dxa"/>
              <w:bottom w:w="150" w:type="dxa"/>
              <w:right w:w="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900000.00</w:t>
            </w:r>
          </w:p>
        </w:tc>
        <w:tc>
          <w:tcPr>
            <w:tcW w:w="0" w:type="auto"/>
            <w:tcMar>
              <w:top w:w="150" w:type="dxa"/>
              <w:left w:w="0" w:type="dxa"/>
              <w:bottom w:w="150" w:type="dxa"/>
              <w:right w:w="0" w:type="dxa"/>
            </w:tcMar>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 Опись документов (Форма № 1)</w:t>
            </w:r>
            <w:r w:rsidRPr="002F42C7">
              <w:rPr>
                <w:rFonts w:ascii="Tahoma" w:eastAsia="Times New Roman" w:hAnsi="Tahoma" w:cs="Tahoma"/>
                <w:sz w:val="21"/>
                <w:szCs w:val="21"/>
                <w:lang w:eastAsia="ru-RU"/>
              </w:rPr>
              <w:br/>
              <w:t>(предоставление обязательно)</w:t>
            </w:r>
          </w:p>
        </w:tc>
        <w:tc>
          <w:tcPr>
            <w:tcW w:w="0" w:type="auto"/>
            <w:tcMar>
              <w:top w:w="150" w:type="dxa"/>
              <w:left w:w="0" w:type="dxa"/>
              <w:bottom w:w="150" w:type="dxa"/>
              <w:right w:w="0" w:type="dxa"/>
            </w:tcMar>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2. Сопроводительное письмо (Форма № 2)</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3. </w:t>
            </w:r>
            <w:proofErr w:type="gramStart"/>
            <w:r w:rsidRPr="002F42C7">
              <w:rPr>
                <w:rFonts w:ascii="Tahoma" w:eastAsia="Times New Roman" w:hAnsi="Tahoma" w:cs="Tahoma"/>
                <w:sz w:val="21"/>
                <w:szCs w:val="21"/>
                <w:lang w:eastAsia="ru-RU"/>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 - Анкета участника открытого конкурса (Форма № 3)</w:t>
            </w:r>
            <w:r w:rsidRPr="002F42C7">
              <w:rPr>
                <w:rFonts w:ascii="Tahoma" w:eastAsia="Times New Roman" w:hAnsi="Tahoma" w:cs="Tahoma"/>
                <w:sz w:val="21"/>
                <w:szCs w:val="21"/>
                <w:lang w:eastAsia="ru-RU"/>
              </w:rPr>
              <w:br/>
              <w:t>(предоставление обязательно)</w:t>
            </w:r>
            <w:proofErr w:type="gramEnd"/>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4. Предложение о цене контракта (Форма № 4)</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5. Предложение участника открытого конкурса в отношении объекта закупки, в том числе предложение по качественным, функциональным и экологическим характеристикам объекта закупки (в свободной форме)</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6. Предложение участника открытого конкурса в отношении объекта закупки, в том числе предложение о квалификации участника закупки (Форма № 5)</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7. Выписка из единого государственного реестра юридических лиц </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8. Документ, подтверждающий полномочия лица на осуществление действий от имени участника открытого конкурса </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9. Декларация о соответствии участника открытого конкурса требованиям, установленным в </w:t>
            </w:r>
            <w:r w:rsidRPr="002F42C7">
              <w:rPr>
                <w:rFonts w:ascii="Tahoma" w:eastAsia="Times New Roman" w:hAnsi="Tahoma" w:cs="Tahoma"/>
                <w:sz w:val="21"/>
                <w:szCs w:val="21"/>
                <w:lang w:eastAsia="ru-RU"/>
              </w:rPr>
              <w:lastRenderedPageBreak/>
              <w:t>соответствии с пунктами 3-5, 7, 9 части 1 статьи 31 Закона № 44-ФЗ</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lastRenderedPageBreak/>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10.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установленная ч.3 ст.30 Закона №44 – ФЗ</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11. Копии учредительных документов участника открытого конкурса </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12. Решение об одобрении или о совершении крупной сделки либо копия такого решения </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Отсутс</w:t>
            </w:r>
            <w:r>
              <w:rPr>
                <w:rFonts w:ascii="Tahoma" w:eastAsia="Times New Roman" w:hAnsi="Tahoma" w:cs="Tahoma"/>
                <w:sz w:val="21"/>
                <w:szCs w:val="21"/>
                <w:lang w:eastAsia="ru-RU"/>
              </w:rPr>
              <w:t>т</w:t>
            </w:r>
            <w:r w:rsidRPr="002F42C7">
              <w:rPr>
                <w:rFonts w:ascii="Tahoma" w:eastAsia="Times New Roman" w:hAnsi="Tahoma" w:cs="Tahoma"/>
                <w:sz w:val="21"/>
                <w:szCs w:val="21"/>
                <w:lang w:eastAsia="ru-RU"/>
              </w:rPr>
              <w:t>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13. Документы, подтверждающие добросовестность участника открытого конкурса </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Отсутс</w:t>
            </w:r>
            <w:r>
              <w:rPr>
                <w:rFonts w:ascii="Tahoma" w:eastAsia="Times New Roman" w:hAnsi="Tahoma" w:cs="Tahoma"/>
                <w:sz w:val="21"/>
                <w:szCs w:val="21"/>
                <w:lang w:eastAsia="ru-RU"/>
              </w:rPr>
              <w:t>т</w:t>
            </w:r>
            <w:r w:rsidRPr="002F42C7">
              <w:rPr>
                <w:rFonts w:ascii="Tahoma" w:eastAsia="Times New Roman" w:hAnsi="Tahoma" w:cs="Tahoma"/>
                <w:sz w:val="21"/>
                <w:szCs w:val="21"/>
                <w:lang w:eastAsia="ru-RU"/>
              </w:rPr>
              <w:t>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14. Документы, подтверждающие внесение обеспечения заявки на участие в открытом конкурсе</w:t>
            </w:r>
            <w:r w:rsidRPr="002F42C7">
              <w:rPr>
                <w:rFonts w:ascii="Tahoma" w:eastAsia="Times New Roman" w:hAnsi="Tahoma" w:cs="Tahoma"/>
                <w:sz w:val="21"/>
                <w:szCs w:val="21"/>
                <w:lang w:eastAsia="ru-RU"/>
              </w:rPr>
              <w:br/>
              <w:t>(предоставление обязательно)</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15. Документ, подтверждающий квалификацию участника открытого </w:t>
            </w:r>
            <w:r w:rsidRPr="002F42C7">
              <w:rPr>
                <w:rFonts w:ascii="Tahoma" w:eastAsia="Times New Roman" w:hAnsi="Tahoma" w:cs="Tahoma"/>
                <w:sz w:val="21"/>
                <w:szCs w:val="21"/>
                <w:lang w:eastAsia="ru-RU"/>
              </w:rPr>
              <w:lastRenderedPageBreak/>
              <w:t xml:space="preserve">конкурса </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lastRenderedPageBreak/>
              <w:t>Присутствует</w:t>
            </w:r>
          </w:p>
        </w:tc>
      </w:tr>
      <w:tr w:rsidR="002F42C7" w:rsidRPr="002F42C7" w:rsidTr="002F42C7">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Merge/>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16. Другие документы, прикладываемые по усмотрению участником закупки</w:t>
            </w:r>
          </w:p>
        </w:tc>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Присутствует</w:t>
            </w:r>
          </w:p>
        </w:tc>
      </w:tr>
    </w:tbl>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6. Решение комиссии</w:t>
      </w:r>
    </w:p>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Конкурсная комиссия по осуществлению закупок проведет рассмотрение единственной заявки на участие в открытом конкурсе в срок, указанный в конкурсной документации.</w:t>
      </w:r>
    </w:p>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7. Публикация и хранение протокола</w:t>
      </w:r>
    </w:p>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br/>
        <w:t>Настоящий протокол подлежит размещению на официальном сайте www.zakupki.gov.ru в порядке и в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F42C7" w:rsidRPr="002F42C7" w:rsidRDefault="002F42C7" w:rsidP="002F42C7">
      <w:pPr>
        <w:spacing w:before="100" w:beforeAutospacing="1" w:after="100" w:afterAutospacing="1" w:line="240" w:lineRule="auto"/>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8. Приложения к Протоколу</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К протоколу прилагаются и являются его неотъемлемой частью: </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 Условия исполнения контракта, указанные в заявках на участие в открытом конкурсе ____</w:t>
      </w:r>
      <w:proofErr w:type="gramStart"/>
      <w:r w:rsidRPr="002F42C7">
        <w:rPr>
          <w:rFonts w:ascii="Tahoma" w:eastAsia="Times New Roman" w:hAnsi="Tahoma" w:cs="Tahoma"/>
          <w:sz w:val="21"/>
          <w:szCs w:val="21"/>
          <w:lang w:eastAsia="ru-RU"/>
        </w:rPr>
        <w:t>л</w:t>
      </w:r>
      <w:proofErr w:type="gramEnd"/>
      <w:r w:rsidRPr="002F42C7">
        <w:rPr>
          <w:rFonts w:ascii="Tahoma" w:eastAsia="Times New Roman" w:hAnsi="Tahoma" w:cs="Tahoma"/>
          <w:sz w:val="21"/>
          <w:szCs w:val="21"/>
          <w:lang w:eastAsia="ru-RU"/>
        </w:rPr>
        <w:t xml:space="preserve">. </w:t>
      </w:r>
    </w:p>
    <w:p w:rsidR="002F42C7" w:rsidRPr="002F42C7" w:rsidRDefault="002F42C7" w:rsidP="002F42C7">
      <w:pPr>
        <w:spacing w:before="100" w:beforeAutospacing="1" w:after="100" w:afterAutospacing="1"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2. Приложение № 2 к протоколу вскрытия конвертов (Приложение № 2 к протоколу вскрытия конвертов.doc)</w:t>
      </w:r>
    </w:p>
    <w:p w:rsidR="002F42C7" w:rsidRPr="002F42C7" w:rsidRDefault="002F42C7" w:rsidP="002F42C7">
      <w:pPr>
        <w:spacing w:after="240" w:line="240" w:lineRule="auto"/>
        <w:jc w:val="both"/>
        <w:rPr>
          <w:rFonts w:ascii="Tahoma" w:eastAsia="Times New Roman" w:hAnsi="Tahoma" w:cs="Tahoma"/>
          <w:sz w:val="21"/>
          <w:szCs w:val="21"/>
          <w:lang w:eastAsia="ru-RU"/>
        </w:rPr>
      </w:pPr>
    </w:p>
    <w:tbl>
      <w:tblPr>
        <w:tblW w:w="5000" w:type="pct"/>
        <w:tblCellMar>
          <w:left w:w="0" w:type="dxa"/>
          <w:right w:w="0" w:type="dxa"/>
        </w:tblCellMar>
        <w:tblLook w:val="04A0" w:firstRow="1" w:lastRow="0" w:firstColumn="1" w:lastColumn="0" w:noHBand="0" w:noVBand="1"/>
      </w:tblPr>
      <w:tblGrid>
        <w:gridCol w:w="3685"/>
        <w:gridCol w:w="2807"/>
        <w:gridCol w:w="6"/>
        <w:gridCol w:w="2857"/>
      </w:tblGrid>
      <w:tr w:rsidR="002F42C7" w:rsidRPr="002F42C7" w:rsidTr="002F42C7">
        <w:trPr>
          <w:gridAfter w:val="1"/>
        </w:trPr>
        <w:tc>
          <w:tcPr>
            <w:tcW w:w="6" w:type="dxa"/>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c>
          <w:tcPr>
            <w:tcW w:w="1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c>
          <w:tcPr>
            <w:tcW w:w="6" w:type="dxa"/>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r>
      <w:tr w:rsidR="002F42C7" w:rsidRPr="002F42C7" w:rsidTr="002F42C7">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Председатель комиссии</w:t>
            </w:r>
          </w:p>
        </w:tc>
        <w:tc>
          <w:tcPr>
            <w:tcW w:w="0" w:type="auto"/>
            <w:tcMar>
              <w:top w:w="300" w:type="dxa"/>
              <w:left w:w="0" w:type="dxa"/>
              <w:bottom w:w="0" w:type="dxa"/>
              <w:right w:w="0" w:type="dxa"/>
            </w:tcMar>
            <w:vAlign w:val="bottom"/>
            <w:hideMark/>
          </w:tcPr>
          <w:p w:rsidR="002F42C7" w:rsidRPr="002F42C7" w:rsidRDefault="002F42C7" w:rsidP="002F42C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Абрамова Наталья Борисовна</w:t>
            </w:r>
          </w:p>
        </w:tc>
      </w:tr>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hideMark/>
          </w:tcPr>
          <w:p w:rsidR="002F42C7" w:rsidRPr="002F42C7" w:rsidRDefault="002F42C7" w:rsidP="002F42C7">
            <w:pPr>
              <w:spacing w:after="0" w:line="240" w:lineRule="auto"/>
              <w:jc w:val="center"/>
              <w:rPr>
                <w:rFonts w:ascii="Tahoma" w:eastAsia="Times New Roman" w:hAnsi="Tahoma" w:cs="Tahoma"/>
                <w:sz w:val="15"/>
                <w:szCs w:val="15"/>
                <w:lang w:eastAsia="ru-RU"/>
              </w:rPr>
            </w:pPr>
            <w:r w:rsidRPr="002F42C7">
              <w:rPr>
                <w:rFonts w:ascii="Tahoma" w:eastAsia="Times New Roman" w:hAnsi="Tahoma" w:cs="Tahoma"/>
                <w:sz w:val="15"/>
                <w:szCs w:val="15"/>
                <w:lang w:eastAsia="ru-RU"/>
              </w:rPr>
              <w:t>(Подпись)</w:t>
            </w: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0" w:line="240" w:lineRule="auto"/>
              <w:rPr>
                <w:rFonts w:ascii="Times New Roman" w:eastAsia="Times New Roman" w:hAnsi="Times New Roman" w:cs="Times New Roman"/>
                <w:sz w:val="20"/>
                <w:szCs w:val="20"/>
                <w:lang w:eastAsia="ru-RU"/>
              </w:rPr>
            </w:pPr>
          </w:p>
        </w:tc>
      </w:tr>
      <w:tr w:rsidR="002F42C7" w:rsidRPr="002F42C7" w:rsidTr="002F42C7">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Зам. председателя комиссии</w:t>
            </w:r>
          </w:p>
        </w:tc>
        <w:tc>
          <w:tcPr>
            <w:tcW w:w="0" w:type="auto"/>
            <w:tcMar>
              <w:top w:w="300" w:type="dxa"/>
              <w:left w:w="0" w:type="dxa"/>
              <w:bottom w:w="0" w:type="dxa"/>
              <w:right w:w="0" w:type="dxa"/>
            </w:tcMar>
            <w:vAlign w:val="bottom"/>
            <w:hideMark/>
          </w:tcPr>
          <w:p w:rsidR="002F42C7" w:rsidRPr="002F42C7" w:rsidRDefault="002F42C7" w:rsidP="002F42C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Седых Екатерина Леонидовна</w:t>
            </w:r>
          </w:p>
        </w:tc>
      </w:tr>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hideMark/>
          </w:tcPr>
          <w:p w:rsidR="002F42C7" w:rsidRPr="002F42C7" w:rsidRDefault="002F42C7" w:rsidP="002F42C7">
            <w:pPr>
              <w:spacing w:after="0" w:line="240" w:lineRule="auto"/>
              <w:jc w:val="center"/>
              <w:rPr>
                <w:rFonts w:ascii="Tahoma" w:eastAsia="Times New Roman" w:hAnsi="Tahoma" w:cs="Tahoma"/>
                <w:sz w:val="15"/>
                <w:szCs w:val="15"/>
                <w:lang w:eastAsia="ru-RU"/>
              </w:rPr>
            </w:pPr>
            <w:r w:rsidRPr="002F42C7">
              <w:rPr>
                <w:rFonts w:ascii="Tahoma" w:eastAsia="Times New Roman" w:hAnsi="Tahoma" w:cs="Tahoma"/>
                <w:sz w:val="15"/>
                <w:szCs w:val="15"/>
                <w:lang w:eastAsia="ru-RU"/>
              </w:rPr>
              <w:t>(Подпись)</w:t>
            </w: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0" w:line="240" w:lineRule="auto"/>
              <w:rPr>
                <w:rFonts w:ascii="Times New Roman" w:eastAsia="Times New Roman" w:hAnsi="Times New Roman" w:cs="Times New Roman"/>
                <w:sz w:val="20"/>
                <w:szCs w:val="20"/>
                <w:lang w:eastAsia="ru-RU"/>
              </w:rPr>
            </w:pPr>
          </w:p>
        </w:tc>
      </w:tr>
      <w:tr w:rsidR="002F42C7" w:rsidRPr="002F42C7" w:rsidTr="002F42C7">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Секретарь</w:t>
            </w:r>
          </w:p>
        </w:tc>
        <w:tc>
          <w:tcPr>
            <w:tcW w:w="0" w:type="auto"/>
            <w:tcMar>
              <w:top w:w="300" w:type="dxa"/>
              <w:left w:w="0" w:type="dxa"/>
              <w:bottom w:w="0" w:type="dxa"/>
              <w:right w:w="0" w:type="dxa"/>
            </w:tcMar>
            <w:vAlign w:val="bottom"/>
            <w:hideMark/>
          </w:tcPr>
          <w:p w:rsidR="002F42C7" w:rsidRPr="002F42C7" w:rsidRDefault="002F42C7" w:rsidP="002F42C7">
            <w:pPr>
              <w:spacing w:after="0" w:line="240" w:lineRule="auto"/>
              <w:jc w:val="center"/>
              <w:rPr>
                <w:rFonts w:ascii="Tahoma" w:eastAsia="Times New Roman" w:hAnsi="Tahoma" w:cs="Tahoma"/>
                <w:sz w:val="21"/>
                <w:szCs w:val="21"/>
                <w:lang w:eastAsia="ru-RU"/>
              </w:rPr>
            </w:pPr>
          </w:p>
        </w:tc>
        <w:tc>
          <w:tcPr>
            <w:tcW w:w="0" w:type="auto"/>
            <w:tcBorders>
              <w:bottom w:val="nil"/>
            </w:tcBorders>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tcMar>
              <w:top w:w="0" w:type="dxa"/>
              <w:left w:w="450" w:type="dxa"/>
              <w:bottom w:w="0" w:type="dxa"/>
              <w:right w:w="45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roofErr w:type="spellStart"/>
            <w:r w:rsidRPr="002F42C7">
              <w:rPr>
                <w:rFonts w:ascii="Tahoma" w:eastAsia="Times New Roman" w:hAnsi="Tahoma" w:cs="Tahoma"/>
                <w:sz w:val="21"/>
                <w:szCs w:val="21"/>
                <w:lang w:eastAsia="ru-RU"/>
              </w:rPr>
              <w:t>Шарафутдинова</w:t>
            </w:r>
            <w:proofErr w:type="spellEnd"/>
            <w:r w:rsidRPr="002F42C7">
              <w:rPr>
                <w:rFonts w:ascii="Tahoma" w:eastAsia="Times New Roman" w:hAnsi="Tahoma" w:cs="Tahoma"/>
                <w:sz w:val="21"/>
                <w:szCs w:val="21"/>
                <w:lang w:eastAsia="ru-RU"/>
              </w:rPr>
              <w:t xml:space="preserve"> Светлана Владимировна</w:t>
            </w:r>
          </w:p>
        </w:tc>
      </w:tr>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hideMark/>
          </w:tcPr>
          <w:p w:rsidR="002F42C7" w:rsidRPr="002F42C7" w:rsidRDefault="002F42C7" w:rsidP="002F42C7">
            <w:pPr>
              <w:spacing w:after="0" w:line="240" w:lineRule="auto"/>
              <w:jc w:val="center"/>
              <w:rPr>
                <w:rFonts w:ascii="Tahoma" w:eastAsia="Times New Roman" w:hAnsi="Tahoma" w:cs="Tahoma"/>
                <w:sz w:val="15"/>
                <w:szCs w:val="15"/>
                <w:lang w:eastAsia="ru-RU"/>
              </w:rPr>
            </w:pPr>
            <w:r w:rsidRPr="002F42C7">
              <w:rPr>
                <w:rFonts w:ascii="Tahoma" w:eastAsia="Times New Roman" w:hAnsi="Tahoma" w:cs="Tahoma"/>
                <w:sz w:val="15"/>
                <w:szCs w:val="15"/>
                <w:lang w:eastAsia="ru-RU"/>
              </w:rPr>
              <w:t>(Подпись)</w:t>
            </w: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0" w:line="240" w:lineRule="auto"/>
              <w:rPr>
                <w:rFonts w:ascii="Times New Roman" w:eastAsia="Times New Roman" w:hAnsi="Times New Roman" w:cs="Times New Roman"/>
                <w:sz w:val="20"/>
                <w:szCs w:val="20"/>
                <w:lang w:eastAsia="ru-RU"/>
              </w:rPr>
            </w:pPr>
          </w:p>
        </w:tc>
      </w:tr>
    </w:tbl>
    <w:p w:rsid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br/>
      </w:r>
    </w:p>
    <w:p w:rsidR="002F42C7" w:rsidRPr="002F42C7" w:rsidRDefault="002F42C7" w:rsidP="002F42C7">
      <w:pPr>
        <w:spacing w:after="240" w:line="240" w:lineRule="auto"/>
        <w:rPr>
          <w:rFonts w:ascii="Tahoma" w:eastAsia="Times New Roman" w:hAnsi="Tahoma" w:cs="Tahoma"/>
          <w:sz w:val="21"/>
          <w:szCs w:val="21"/>
          <w:lang w:eastAsia="ru-RU"/>
        </w:rPr>
      </w:pPr>
      <w:bookmarkStart w:id="0" w:name="_GoBack"/>
      <w:bookmarkEnd w:id="0"/>
      <w:r w:rsidRPr="002F42C7">
        <w:rPr>
          <w:rFonts w:ascii="Tahoma" w:eastAsia="Times New Roman" w:hAnsi="Tahoma" w:cs="Tahoma"/>
          <w:sz w:val="21"/>
          <w:szCs w:val="21"/>
          <w:lang w:eastAsia="ru-RU"/>
        </w:rPr>
        <w:lastRenderedPageBreak/>
        <w:br/>
      </w:r>
    </w:p>
    <w:tbl>
      <w:tblPr>
        <w:tblW w:w="5000" w:type="pct"/>
        <w:tblCellMar>
          <w:left w:w="0" w:type="dxa"/>
          <w:right w:w="0" w:type="dxa"/>
        </w:tblCellMar>
        <w:tblLook w:val="04A0" w:firstRow="1" w:lastRow="0" w:firstColumn="1" w:lastColumn="0" w:noHBand="0" w:noVBand="1"/>
      </w:tblPr>
      <w:tblGrid>
        <w:gridCol w:w="4677"/>
        <w:gridCol w:w="4678"/>
      </w:tblGrid>
      <w:tr w:rsidR="002F42C7" w:rsidRPr="002F42C7" w:rsidTr="002F42C7">
        <w:tc>
          <w:tcPr>
            <w:tcW w:w="2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c>
          <w:tcPr>
            <w:tcW w:w="2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p>
        </w:tc>
      </w:tr>
      <w:tr w:rsidR="002F42C7" w:rsidRPr="002F42C7" w:rsidT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
        </w:tc>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Приложение № 1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04.07.2014 №ПВК</w:t>
            </w:r>
            <w:proofErr w:type="gramStart"/>
            <w:r w:rsidRPr="002F42C7">
              <w:rPr>
                <w:rFonts w:ascii="Tahoma" w:eastAsia="Times New Roman" w:hAnsi="Tahoma" w:cs="Tahoma"/>
                <w:sz w:val="21"/>
                <w:szCs w:val="21"/>
                <w:lang w:eastAsia="ru-RU"/>
              </w:rPr>
              <w:t>1</w:t>
            </w:r>
            <w:proofErr w:type="gramEnd"/>
          </w:p>
        </w:tc>
      </w:tr>
    </w:tbl>
    <w:p w:rsidR="002F42C7" w:rsidRPr="002F42C7" w:rsidRDefault="002F42C7" w:rsidP="002F42C7">
      <w:pPr>
        <w:spacing w:after="0" w:line="240" w:lineRule="auto"/>
        <w:rPr>
          <w:rFonts w:ascii="Tahoma" w:eastAsia="Times New Roman" w:hAnsi="Tahoma" w:cs="Tahoma"/>
          <w:sz w:val="21"/>
          <w:szCs w:val="21"/>
          <w:lang w:eastAsia="ru-RU"/>
        </w:rPr>
      </w:pPr>
    </w:p>
    <w:p w:rsidR="002F42C7" w:rsidRPr="002F42C7" w:rsidRDefault="002F42C7" w:rsidP="002F42C7">
      <w:pPr>
        <w:spacing w:before="100" w:beforeAutospacing="1" w:after="100" w:afterAutospacing="1" w:line="240" w:lineRule="auto"/>
        <w:jc w:val="center"/>
        <w:outlineLvl w:val="2"/>
        <w:rPr>
          <w:rFonts w:ascii="Tahoma" w:eastAsia="Times New Roman" w:hAnsi="Tahoma" w:cs="Tahoma"/>
          <w:b/>
          <w:bCs/>
          <w:sz w:val="27"/>
          <w:szCs w:val="27"/>
          <w:lang w:eastAsia="ru-RU"/>
        </w:rPr>
      </w:pPr>
      <w:r w:rsidRPr="002F42C7">
        <w:rPr>
          <w:rFonts w:ascii="Tahoma" w:eastAsia="Times New Roman" w:hAnsi="Tahoma" w:cs="Tahoma"/>
          <w:b/>
          <w:bCs/>
          <w:sz w:val="27"/>
          <w:szCs w:val="27"/>
          <w:lang w:eastAsia="ru-RU"/>
        </w:rPr>
        <w:t>Условия исполнения контракта, указанные в заявках на участие в открытом конкурсе</w:t>
      </w:r>
    </w:p>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br/>
      </w:r>
    </w:p>
    <w:tbl>
      <w:tblPr>
        <w:tblW w:w="5000" w:type="pct"/>
        <w:tblCellMar>
          <w:left w:w="0" w:type="dxa"/>
          <w:right w:w="0" w:type="dxa"/>
        </w:tblCellMar>
        <w:tblLook w:val="04A0" w:firstRow="1" w:lastRow="0" w:firstColumn="1" w:lastColumn="0" w:noHBand="0" w:noVBand="1"/>
      </w:tblPr>
      <w:tblGrid>
        <w:gridCol w:w="935"/>
        <w:gridCol w:w="3742"/>
        <w:gridCol w:w="4678"/>
      </w:tblGrid>
      <w:tr w:rsidR="002F42C7" w:rsidRPr="002F42C7" w:rsidTr="002F42C7">
        <w:tc>
          <w:tcPr>
            <w:tcW w:w="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 заявки</w:t>
            </w:r>
          </w:p>
        </w:tc>
        <w:tc>
          <w:tcPr>
            <w:tcW w:w="20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Краткая информация об участнике</w:t>
            </w:r>
          </w:p>
        </w:tc>
        <w:tc>
          <w:tcPr>
            <w:tcW w:w="2500" w:type="pct"/>
            <w:vAlign w:val="center"/>
            <w:hideMark/>
          </w:tcPr>
          <w:p w:rsidR="002F42C7" w:rsidRPr="002F42C7" w:rsidRDefault="002F42C7" w:rsidP="002F42C7">
            <w:pPr>
              <w:spacing w:after="0" w:line="240" w:lineRule="auto"/>
              <w:jc w:val="center"/>
              <w:rPr>
                <w:rFonts w:ascii="Tahoma" w:eastAsia="Times New Roman" w:hAnsi="Tahoma" w:cs="Tahoma"/>
                <w:b/>
                <w:bCs/>
                <w:sz w:val="21"/>
                <w:szCs w:val="21"/>
                <w:lang w:eastAsia="ru-RU"/>
              </w:rPr>
            </w:pPr>
            <w:r w:rsidRPr="002F42C7">
              <w:rPr>
                <w:rFonts w:ascii="Tahoma" w:eastAsia="Times New Roman" w:hAnsi="Tahoma" w:cs="Tahoma"/>
                <w:b/>
                <w:bCs/>
                <w:sz w:val="21"/>
                <w:szCs w:val="21"/>
                <w:lang w:eastAsia="ru-RU"/>
              </w:rPr>
              <w:t>Условия исполнения контракта</w:t>
            </w:r>
          </w:p>
        </w:tc>
      </w:tr>
      <w:tr w:rsidR="002F42C7" w:rsidRPr="002F42C7" w:rsidTr="002F42C7">
        <w:tc>
          <w:tcPr>
            <w:tcW w:w="0" w:type="auto"/>
            <w:tcMar>
              <w:top w:w="150" w:type="dxa"/>
              <w:left w:w="0" w:type="dxa"/>
              <w:bottom w:w="150" w:type="dxa"/>
              <w:right w:w="0" w:type="dxa"/>
            </w:tcMar>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1</w:t>
            </w:r>
          </w:p>
        </w:tc>
        <w:tc>
          <w:tcPr>
            <w:tcW w:w="0" w:type="auto"/>
            <w:tcMar>
              <w:top w:w="150" w:type="dxa"/>
              <w:left w:w="0" w:type="dxa"/>
              <w:bottom w:w="150" w:type="dxa"/>
              <w:right w:w="0" w:type="dxa"/>
            </w:tcMar>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sz w:val="21"/>
                <w:szCs w:val="21"/>
                <w:lang w:eastAsia="ru-RU"/>
              </w:rPr>
              <w:t xml:space="preserve">Общество с ограниченной </w:t>
            </w:r>
            <w:proofErr w:type="spellStart"/>
            <w:r w:rsidRPr="002F42C7">
              <w:rPr>
                <w:rFonts w:ascii="Tahoma" w:eastAsia="Times New Roman" w:hAnsi="Tahoma" w:cs="Tahoma"/>
                <w:sz w:val="21"/>
                <w:szCs w:val="21"/>
                <w:lang w:eastAsia="ru-RU"/>
              </w:rPr>
              <w:t>ответственность</w:t>
            </w:r>
            <w:proofErr w:type="gramStart"/>
            <w:r w:rsidRPr="002F42C7">
              <w:rPr>
                <w:rFonts w:ascii="Tahoma" w:eastAsia="Times New Roman" w:hAnsi="Tahoma" w:cs="Tahoma"/>
                <w:sz w:val="21"/>
                <w:szCs w:val="21"/>
                <w:lang w:eastAsia="ru-RU"/>
              </w:rPr>
              <w:t>ю"</w:t>
            </w:r>
            <w:proofErr w:type="gramEnd"/>
            <w:r w:rsidRPr="002F42C7">
              <w:rPr>
                <w:rFonts w:ascii="Tahoma" w:eastAsia="Times New Roman" w:hAnsi="Tahoma" w:cs="Tahoma"/>
                <w:sz w:val="21"/>
                <w:szCs w:val="21"/>
                <w:lang w:eastAsia="ru-RU"/>
              </w:rPr>
              <w:t>Про</w:t>
            </w:r>
            <w:proofErr w:type="spellEnd"/>
            <w:r w:rsidRPr="002F42C7">
              <w:rPr>
                <w:rFonts w:ascii="Tahoma" w:eastAsia="Times New Roman" w:hAnsi="Tahoma" w:cs="Tahoma"/>
                <w:sz w:val="21"/>
                <w:szCs w:val="21"/>
                <w:lang w:eastAsia="ru-RU"/>
              </w:rPr>
              <w:t>-Грамма"</w:t>
            </w:r>
          </w:p>
        </w:tc>
        <w:tc>
          <w:tcPr>
            <w:tcW w:w="0" w:type="auto"/>
            <w:tcMar>
              <w:top w:w="150" w:type="dxa"/>
              <w:left w:w="0" w:type="dxa"/>
              <w:bottom w:w="1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4678"/>
            </w:tblGrid>
            <w:tr w:rsidR="002F42C7" w:rsidRPr="002F42C7">
              <w:tc>
                <w:tcPr>
                  <w:tcW w:w="0" w:type="auto"/>
                  <w:vAlign w:val="center"/>
                  <w:hideMark/>
                </w:tcPr>
                <w:p w:rsidR="002F42C7" w:rsidRPr="002F42C7" w:rsidRDefault="002F42C7" w:rsidP="002F42C7">
                  <w:pPr>
                    <w:spacing w:after="240" w:line="240" w:lineRule="auto"/>
                    <w:rPr>
                      <w:rFonts w:ascii="Tahoma" w:eastAsia="Times New Roman" w:hAnsi="Tahoma" w:cs="Tahoma"/>
                      <w:sz w:val="21"/>
                      <w:szCs w:val="21"/>
                      <w:lang w:eastAsia="ru-RU"/>
                    </w:rPr>
                  </w:pPr>
                  <w:r w:rsidRPr="002F42C7">
                    <w:rPr>
                      <w:rFonts w:ascii="Tahoma" w:eastAsia="Times New Roman" w:hAnsi="Tahoma" w:cs="Tahoma"/>
                      <w:b/>
                      <w:bCs/>
                      <w:sz w:val="21"/>
                      <w:szCs w:val="21"/>
                      <w:lang w:eastAsia="ru-RU"/>
                    </w:rPr>
                    <w:t>Цена контракта</w:t>
                  </w:r>
                  <w:r w:rsidRPr="002F42C7">
                    <w:rPr>
                      <w:rFonts w:ascii="Tahoma" w:eastAsia="Times New Roman" w:hAnsi="Tahoma" w:cs="Tahoma"/>
                      <w:sz w:val="21"/>
                      <w:szCs w:val="21"/>
                      <w:lang w:eastAsia="ru-RU"/>
                    </w:rPr>
                    <w:br/>
                    <w:t xml:space="preserve">Значимость критерия оценки: 20.00% </w:t>
                  </w:r>
                  <w:r w:rsidRPr="002F42C7">
                    <w:rPr>
                      <w:rFonts w:ascii="Tahoma" w:eastAsia="Times New Roman" w:hAnsi="Tahoma" w:cs="Tahoma"/>
                      <w:sz w:val="21"/>
                      <w:szCs w:val="21"/>
                      <w:lang w:eastAsia="ru-RU"/>
                    </w:rPr>
                    <w:br/>
                    <w:t>Предложение участника: 900000.00 Российский рубль</w:t>
                  </w:r>
                </w:p>
              </w:tc>
            </w:tr>
            <w:tr w:rsidR="002F42C7" w:rsidRP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proofErr w:type="gramStart"/>
                  <w:r w:rsidRPr="002F42C7">
                    <w:rPr>
                      <w:rFonts w:ascii="Tahoma" w:eastAsia="Times New Roman" w:hAnsi="Tahoma" w:cs="Tahoma"/>
                      <w:b/>
                      <w:bCs/>
                      <w:sz w:val="21"/>
                      <w:szCs w:val="21"/>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w:t>
                  </w:r>
                  <w:r w:rsidRPr="002F42C7">
                    <w:rPr>
                      <w:rFonts w:ascii="Tahoma" w:eastAsia="Times New Roman" w:hAnsi="Tahoma" w:cs="Tahoma"/>
                      <w:sz w:val="21"/>
                      <w:szCs w:val="21"/>
                      <w:lang w:eastAsia="ru-RU"/>
                    </w:rPr>
                    <w:br/>
                    <w:t xml:space="preserve">Значимость критерия оценки: 40% </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Показатели критерия оценки:</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1 Суммарная стоимость работ, выполненных Участником за последние десять лет (с 2004 по 2013 гг</w:t>
                  </w:r>
                  <w:proofErr w:type="gramEnd"/>
                  <w:r w:rsidRPr="002F42C7">
                    <w:rPr>
                      <w:rFonts w:ascii="Tahoma" w:eastAsia="Times New Roman" w:hAnsi="Tahoma" w:cs="Tahoma"/>
                      <w:b/>
                      <w:bCs/>
                      <w:i/>
                      <w:iCs/>
                      <w:sz w:val="21"/>
                      <w:szCs w:val="21"/>
                      <w:lang w:eastAsia="ru-RU"/>
                    </w:rPr>
                    <w:t>.) в сфере реформирования государственных (муниципальных) финансов, составляет более 50 млн. руб., в том числе на территории Ивановской области - более 10 млн. руб.</w:t>
                  </w:r>
                  <w:r w:rsidRPr="002F42C7">
                    <w:rPr>
                      <w:rFonts w:ascii="Tahoma" w:eastAsia="Times New Roman" w:hAnsi="Tahoma" w:cs="Tahoma"/>
                      <w:sz w:val="21"/>
                      <w:szCs w:val="21"/>
                      <w:lang w:eastAsia="ru-RU"/>
                    </w:rPr>
                    <w:br/>
                    <w:t>Значимость показателя: 100%</w:t>
                  </w:r>
                  <w:r w:rsidRPr="002F42C7">
                    <w:rPr>
                      <w:rFonts w:ascii="Tahoma" w:eastAsia="Times New Roman" w:hAnsi="Tahoma" w:cs="Tahoma"/>
                      <w:sz w:val="21"/>
                      <w:szCs w:val="21"/>
                      <w:lang w:eastAsia="ru-RU"/>
                    </w:rPr>
                    <w:br/>
                    <w:t xml:space="preserve">Предельное значение: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 xml:space="preserve">Информация о предложении участника: </w:t>
                  </w:r>
                  <w:proofErr w:type="gramStart"/>
                  <w:r w:rsidRPr="002F42C7">
                    <w:rPr>
                      <w:rFonts w:ascii="Tahoma" w:eastAsia="Times New Roman" w:hAnsi="Tahoma" w:cs="Tahoma"/>
                      <w:sz w:val="21"/>
                      <w:szCs w:val="21"/>
                      <w:lang w:eastAsia="ru-RU"/>
                    </w:rPr>
                    <w:t xml:space="preserve">Суммарная стоимость работ, выполненных ООО "Про-Грамма" за последние 10 лет (с 2004 по 2013 гг.) в сфере реформирования государственных (муниципальных) финансов, составляет 78,5 млн. руб., в том числе на </w:t>
                  </w:r>
                  <w:r w:rsidRPr="002F42C7">
                    <w:rPr>
                      <w:rFonts w:ascii="Tahoma" w:eastAsia="Times New Roman" w:hAnsi="Tahoma" w:cs="Tahoma"/>
                      <w:sz w:val="21"/>
                      <w:szCs w:val="21"/>
                      <w:lang w:eastAsia="ru-RU"/>
                    </w:rPr>
                    <w:lastRenderedPageBreak/>
                    <w:t>территории Ивановской области - 55,6 млн. руб.</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2 Суммарная стоимость работ, выполненных Участником за последние десять лет (с 2004 по 2013 гг.) в сфере реформирования государственных (муниципальных) финансов, составляет более 50 млн</w:t>
                  </w:r>
                  <w:proofErr w:type="gramEnd"/>
                  <w:r w:rsidRPr="002F42C7">
                    <w:rPr>
                      <w:rFonts w:ascii="Tahoma" w:eastAsia="Times New Roman" w:hAnsi="Tahoma" w:cs="Tahoma"/>
                      <w:b/>
                      <w:bCs/>
                      <w:i/>
                      <w:iCs/>
                      <w:sz w:val="21"/>
                      <w:szCs w:val="21"/>
                      <w:lang w:eastAsia="ru-RU"/>
                    </w:rPr>
                    <w:t>. руб., в том числе на территории Ивановской области - от 5 до 10 млн. руб.</w:t>
                  </w:r>
                  <w:r w:rsidRPr="002F42C7">
                    <w:rPr>
                      <w:rFonts w:ascii="Tahoma" w:eastAsia="Times New Roman" w:hAnsi="Tahoma" w:cs="Tahoma"/>
                      <w:sz w:val="21"/>
                      <w:szCs w:val="21"/>
                      <w:lang w:eastAsia="ru-RU"/>
                    </w:rPr>
                    <w:br/>
                    <w:t>Значимость показателя: 75%</w:t>
                  </w:r>
                  <w:r w:rsidRPr="002F42C7">
                    <w:rPr>
                      <w:rFonts w:ascii="Tahoma" w:eastAsia="Times New Roman" w:hAnsi="Tahoma" w:cs="Tahoma"/>
                      <w:sz w:val="21"/>
                      <w:szCs w:val="21"/>
                      <w:lang w:eastAsia="ru-RU"/>
                    </w:rPr>
                    <w:br/>
                    <w:t xml:space="preserve">Предельное значение: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Информация о предложении участника: -</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3 Суммарная стоимость работ, выполненных Участником за последние десять лет (с 2004 по 2013 гг.) в сфере реформирования государственных (муниципальных) финансов, составляет более 50 млн. руб., в том числе на территории Ивановской области - менее 5 млн. руб.</w:t>
                  </w:r>
                  <w:r w:rsidRPr="002F42C7">
                    <w:rPr>
                      <w:rFonts w:ascii="Tahoma" w:eastAsia="Times New Roman" w:hAnsi="Tahoma" w:cs="Tahoma"/>
                      <w:sz w:val="21"/>
                      <w:szCs w:val="21"/>
                      <w:lang w:eastAsia="ru-RU"/>
                    </w:rPr>
                    <w:br/>
                    <w:t>Значимость показателя: 50%</w:t>
                  </w:r>
                  <w:r w:rsidRPr="002F42C7">
                    <w:rPr>
                      <w:rFonts w:ascii="Tahoma" w:eastAsia="Times New Roman" w:hAnsi="Tahoma" w:cs="Tahoma"/>
                      <w:sz w:val="21"/>
                      <w:szCs w:val="21"/>
                      <w:lang w:eastAsia="ru-RU"/>
                    </w:rPr>
                    <w:br/>
                    <w:t xml:space="preserve">Предельное значение: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Информация о предложении участника: -</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4 Суммарная стоимость работ, выполненных Участником за последние десять лет (с 2004 по 2013 гг.) в сфере реформирования государственных (муниципальных) финансов, составляет от 25 до 50 млн. руб.</w:t>
                  </w:r>
                  <w:r w:rsidRPr="002F42C7">
                    <w:rPr>
                      <w:rFonts w:ascii="Tahoma" w:eastAsia="Times New Roman" w:hAnsi="Tahoma" w:cs="Tahoma"/>
                      <w:sz w:val="21"/>
                      <w:szCs w:val="21"/>
                      <w:lang w:eastAsia="ru-RU"/>
                    </w:rPr>
                    <w:br/>
                    <w:t>Значимость показателя: 25%</w:t>
                  </w:r>
                  <w:r w:rsidRPr="002F42C7">
                    <w:rPr>
                      <w:rFonts w:ascii="Tahoma" w:eastAsia="Times New Roman" w:hAnsi="Tahoma" w:cs="Tahoma"/>
                      <w:sz w:val="21"/>
                      <w:szCs w:val="21"/>
                      <w:lang w:eastAsia="ru-RU"/>
                    </w:rPr>
                    <w:br/>
                    <w:t xml:space="preserve">Предельное значение: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Информация о предложении участника: -</w:t>
                  </w:r>
                  <w:r w:rsidRPr="002F42C7">
                    <w:rPr>
                      <w:rFonts w:ascii="Tahoma" w:eastAsia="Times New Roman" w:hAnsi="Tahoma" w:cs="Tahoma"/>
                      <w:sz w:val="21"/>
                      <w:szCs w:val="21"/>
                      <w:lang w:eastAsia="ru-RU"/>
                    </w:rPr>
                    <w:br/>
                  </w:r>
                  <w:r w:rsidRPr="002F42C7">
                    <w:rPr>
                      <w:rFonts w:ascii="Tahoma" w:eastAsia="Times New Roman" w:hAnsi="Tahoma" w:cs="Tahoma"/>
                      <w:b/>
                      <w:bCs/>
                      <w:i/>
                      <w:iCs/>
                      <w:sz w:val="21"/>
                      <w:szCs w:val="21"/>
                      <w:lang w:eastAsia="ru-RU"/>
                    </w:rPr>
                    <w:t>5 Суммарная стоимость работ, выполненных Участником за последние десять лет (с 2004 по 2013 гг.) в сфере реформирования государственных (муниципальных) финансов, составляет менее 25 млн. руб.</w:t>
                  </w:r>
                  <w:r w:rsidRPr="002F42C7">
                    <w:rPr>
                      <w:rFonts w:ascii="Tahoma" w:eastAsia="Times New Roman" w:hAnsi="Tahoma" w:cs="Tahoma"/>
                      <w:sz w:val="21"/>
                      <w:szCs w:val="21"/>
                      <w:lang w:eastAsia="ru-RU"/>
                    </w:rPr>
                    <w:br/>
                    <w:t>Значимость показателя: 0%</w:t>
                  </w:r>
                  <w:r w:rsidRPr="002F42C7">
                    <w:rPr>
                      <w:rFonts w:ascii="Tahoma" w:eastAsia="Times New Roman" w:hAnsi="Tahoma" w:cs="Tahoma"/>
                      <w:sz w:val="21"/>
                      <w:szCs w:val="21"/>
                      <w:lang w:eastAsia="ru-RU"/>
                    </w:rPr>
                    <w:br/>
                    <w:t xml:space="preserve">Предельное значение: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Информация о предложении участника: -</w:t>
                  </w:r>
                </w:p>
              </w:tc>
            </w:tr>
            <w:tr w:rsidR="002F42C7" w:rsidRPr="002F42C7">
              <w:tc>
                <w:tcPr>
                  <w:tcW w:w="0" w:type="auto"/>
                  <w:vAlign w:val="center"/>
                  <w:hideMark/>
                </w:tcPr>
                <w:p w:rsidR="002F42C7" w:rsidRPr="002F42C7" w:rsidRDefault="002F42C7" w:rsidP="002F42C7">
                  <w:pPr>
                    <w:spacing w:after="0" w:line="240" w:lineRule="auto"/>
                    <w:rPr>
                      <w:rFonts w:ascii="Tahoma" w:eastAsia="Times New Roman" w:hAnsi="Tahoma" w:cs="Tahoma"/>
                      <w:sz w:val="21"/>
                      <w:szCs w:val="21"/>
                      <w:lang w:eastAsia="ru-RU"/>
                    </w:rPr>
                  </w:pPr>
                  <w:r w:rsidRPr="002F42C7">
                    <w:rPr>
                      <w:rFonts w:ascii="Tahoma" w:eastAsia="Times New Roman" w:hAnsi="Tahoma" w:cs="Tahoma"/>
                      <w:b/>
                      <w:bCs/>
                      <w:sz w:val="21"/>
                      <w:szCs w:val="21"/>
                      <w:lang w:eastAsia="ru-RU"/>
                    </w:rPr>
                    <w:lastRenderedPageBreak/>
                    <w:t xml:space="preserve">Качественные, функциональные и экологические характеристики объекта </w:t>
                  </w:r>
                  <w:r w:rsidRPr="002F42C7">
                    <w:rPr>
                      <w:rFonts w:ascii="Tahoma" w:eastAsia="Times New Roman" w:hAnsi="Tahoma" w:cs="Tahoma"/>
                      <w:b/>
                      <w:bCs/>
                      <w:sz w:val="21"/>
                      <w:szCs w:val="21"/>
                      <w:lang w:eastAsia="ru-RU"/>
                    </w:rPr>
                    <w:lastRenderedPageBreak/>
                    <w:t>закупки</w:t>
                  </w:r>
                  <w:r w:rsidRPr="002F42C7">
                    <w:rPr>
                      <w:rFonts w:ascii="Tahoma" w:eastAsia="Times New Roman" w:hAnsi="Tahoma" w:cs="Tahoma"/>
                      <w:sz w:val="21"/>
                      <w:szCs w:val="21"/>
                      <w:lang w:eastAsia="ru-RU"/>
                    </w:rPr>
                    <w:br/>
                    <w:t xml:space="preserve">Значимость критерия оценки: 40% </w:t>
                  </w:r>
                  <w:r w:rsidRPr="002F42C7">
                    <w:rPr>
                      <w:rFonts w:ascii="Tahoma" w:eastAsia="Times New Roman" w:hAnsi="Tahoma" w:cs="Tahoma"/>
                      <w:sz w:val="21"/>
                      <w:szCs w:val="21"/>
                      <w:lang w:eastAsia="ru-RU"/>
                    </w:rPr>
                    <w:br/>
                    <w:t xml:space="preserve">Оценка производится по шкале оценки или другому порядку, указанному в документации </w:t>
                  </w:r>
                  <w:r w:rsidRPr="002F42C7">
                    <w:rPr>
                      <w:rFonts w:ascii="Tahoma" w:eastAsia="Times New Roman" w:hAnsi="Tahoma" w:cs="Tahoma"/>
                      <w:sz w:val="21"/>
                      <w:szCs w:val="21"/>
                      <w:lang w:eastAsia="ru-RU"/>
                    </w:rPr>
                    <w:br/>
                    <w:t xml:space="preserve">Предложение участника: </w:t>
                  </w:r>
                  <w:r w:rsidRPr="002F42C7">
                    <w:rPr>
                      <w:rFonts w:ascii="Tahoma" w:eastAsia="Times New Roman" w:hAnsi="Tahoma" w:cs="Tahoma"/>
                      <w:sz w:val="21"/>
                      <w:szCs w:val="21"/>
                      <w:lang w:eastAsia="ru-RU"/>
                    </w:rPr>
                    <w:br/>
                    <w:t>Информация о предложении участника: Предложение участника открытого конкурса в отношении объекта закупки, в том числе предложение по качественным, функциональным и экологическим характеристикам объекта закупки представлено в приложении № 2 к протоколу вскрытия конвертов с заявками участников, который размещен отдельным файлом</w:t>
                  </w:r>
                </w:p>
              </w:tc>
            </w:tr>
          </w:tbl>
          <w:p w:rsidR="002F42C7" w:rsidRPr="002F42C7" w:rsidRDefault="002F42C7" w:rsidP="002F42C7">
            <w:pPr>
              <w:spacing w:after="0" w:line="240" w:lineRule="auto"/>
              <w:rPr>
                <w:rFonts w:ascii="Tahoma" w:eastAsia="Times New Roman" w:hAnsi="Tahoma" w:cs="Tahoma"/>
                <w:sz w:val="21"/>
                <w:szCs w:val="21"/>
                <w:lang w:eastAsia="ru-RU"/>
              </w:rPr>
            </w:pPr>
          </w:p>
        </w:tc>
      </w:tr>
    </w:tbl>
    <w:p w:rsidR="00C86655" w:rsidRDefault="00C86655"/>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2C7"/>
    <w:rsid w:val="00000627"/>
    <w:rsid w:val="000010F7"/>
    <w:rsid w:val="000014FB"/>
    <w:rsid w:val="00002307"/>
    <w:rsid w:val="00002A18"/>
    <w:rsid w:val="00002AB5"/>
    <w:rsid w:val="00002EA8"/>
    <w:rsid w:val="000035FF"/>
    <w:rsid w:val="00003E57"/>
    <w:rsid w:val="0000491C"/>
    <w:rsid w:val="000053BD"/>
    <w:rsid w:val="00005FA8"/>
    <w:rsid w:val="00007464"/>
    <w:rsid w:val="00010363"/>
    <w:rsid w:val="00010A88"/>
    <w:rsid w:val="00013295"/>
    <w:rsid w:val="00014006"/>
    <w:rsid w:val="00014B52"/>
    <w:rsid w:val="00015F69"/>
    <w:rsid w:val="0001799A"/>
    <w:rsid w:val="00017F2A"/>
    <w:rsid w:val="0002024C"/>
    <w:rsid w:val="000208F0"/>
    <w:rsid w:val="00020F2E"/>
    <w:rsid w:val="00022D9C"/>
    <w:rsid w:val="000261AC"/>
    <w:rsid w:val="00030C00"/>
    <w:rsid w:val="000343E3"/>
    <w:rsid w:val="00034AEB"/>
    <w:rsid w:val="00041D7A"/>
    <w:rsid w:val="00043F1E"/>
    <w:rsid w:val="000460D8"/>
    <w:rsid w:val="00046115"/>
    <w:rsid w:val="00046588"/>
    <w:rsid w:val="00047550"/>
    <w:rsid w:val="00047E38"/>
    <w:rsid w:val="00050D64"/>
    <w:rsid w:val="00051892"/>
    <w:rsid w:val="00052F59"/>
    <w:rsid w:val="00053DF6"/>
    <w:rsid w:val="00054588"/>
    <w:rsid w:val="00054E86"/>
    <w:rsid w:val="00057A88"/>
    <w:rsid w:val="0006085F"/>
    <w:rsid w:val="0006107C"/>
    <w:rsid w:val="00062229"/>
    <w:rsid w:val="0006273E"/>
    <w:rsid w:val="00062D89"/>
    <w:rsid w:val="00064918"/>
    <w:rsid w:val="00065354"/>
    <w:rsid w:val="00066423"/>
    <w:rsid w:val="000744FC"/>
    <w:rsid w:val="00074551"/>
    <w:rsid w:val="0007499A"/>
    <w:rsid w:val="00076C60"/>
    <w:rsid w:val="00080166"/>
    <w:rsid w:val="000840B9"/>
    <w:rsid w:val="00090801"/>
    <w:rsid w:val="0009169F"/>
    <w:rsid w:val="00094A5F"/>
    <w:rsid w:val="00094DA2"/>
    <w:rsid w:val="000959C6"/>
    <w:rsid w:val="000A1212"/>
    <w:rsid w:val="000A2E8D"/>
    <w:rsid w:val="000A3159"/>
    <w:rsid w:val="000A3A4F"/>
    <w:rsid w:val="000A609B"/>
    <w:rsid w:val="000B006E"/>
    <w:rsid w:val="000B47BD"/>
    <w:rsid w:val="000B4D0D"/>
    <w:rsid w:val="000B75EC"/>
    <w:rsid w:val="000B79FC"/>
    <w:rsid w:val="000C0DD1"/>
    <w:rsid w:val="000C3F59"/>
    <w:rsid w:val="000C44EF"/>
    <w:rsid w:val="000C5638"/>
    <w:rsid w:val="000C57FF"/>
    <w:rsid w:val="000D131B"/>
    <w:rsid w:val="000D179C"/>
    <w:rsid w:val="000D2080"/>
    <w:rsid w:val="000D4155"/>
    <w:rsid w:val="000E0FA4"/>
    <w:rsid w:val="000E149C"/>
    <w:rsid w:val="000E2026"/>
    <w:rsid w:val="000E39CE"/>
    <w:rsid w:val="000E459A"/>
    <w:rsid w:val="000E54C9"/>
    <w:rsid w:val="000F0B7C"/>
    <w:rsid w:val="000F19E6"/>
    <w:rsid w:val="000F218B"/>
    <w:rsid w:val="000F5EB0"/>
    <w:rsid w:val="000F6BB9"/>
    <w:rsid w:val="00100B81"/>
    <w:rsid w:val="001014A1"/>
    <w:rsid w:val="001018FB"/>
    <w:rsid w:val="00105BFF"/>
    <w:rsid w:val="00106C7B"/>
    <w:rsid w:val="001100C8"/>
    <w:rsid w:val="00112147"/>
    <w:rsid w:val="001133A9"/>
    <w:rsid w:val="0011353E"/>
    <w:rsid w:val="00113581"/>
    <w:rsid w:val="00114C3B"/>
    <w:rsid w:val="0011536B"/>
    <w:rsid w:val="001165D3"/>
    <w:rsid w:val="0011722B"/>
    <w:rsid w:val="0012119E"/>
    <w:rsid w:val="00121FF7"/>
    <w:rsid w:val="001225F7"/>
    <w:rsid w:val="001255E9"/>
    <w:rsid w:val="0012741F"/>
    <w:rsid w:val="00130AD4"/>
    <w:rsid w:val="001375F2"/>
    <w:rsid w:val="00140847"/>
    <w:rsid w:val="00141221"/>
    <w:rsid w:val="001429E6"/>
    <w:rsid w:val="00144FF2"/>
    <w:rsid w:val="00151724"/>
    <w:rsid w:val="00152016"/>
    <w:rsid w:val="001579FA"/>
    <w:rsid w:val="001628A6"/>
    <w:rsid w:val="00165DDD"/>
    <w:rsid w:val="00167C62"/>
    <w:rsid w:val="00173587"/>
    <w:rsid w:val="00173B16"/>
    <w:rsid w:val="00175CC7"/>
    <w:rsid w:val="00177756"/>
    <w:rsid w:val="00180276"/>
    <w:rsid w:val="001877F2"/>
    <w:rsid w:val="00192CAE"/>
    <w:rsid w:val="00197592"/>
    <w:rsid w:val="001A306F"/>
    <w:rsid w:val="001A6440"/>
    <w:rsid w:val="001A68BE"/>
    <w:rsid w:val="001A7132"/>
    <w:rsid w:val="001B15E3"/>
    <w:rsid w:val="001B4BE8"/>
    <w:rsid w:val="001B7441"/>
    <w:rsid w:val="001B7766"/>
    <w:rsid w:val="001B7D95"/>
    <w:rsid w:val="001C2344"/>
    <w:rsid w:val="001C7C5F"/>
    <w:rsid w:val="001D2A63"/>
    <w:rsid w:val="001D429A"/>
    <w:rsid w:val="001D488A"/>
    <w:rsid w:val="001D4D32"/>
    <w:rsid w:val="001E18E9"/>
    <w:rsid w:val="001E220C"/>
    <w:rsid w:val="001E2F7C"/>
    <w:rsid w:val="001F07E7"/>
    <w:rsid w:val="001F0E66"/>
    <w:rsid w:val="001F3B58"/>
    <w:rsid w:val="00201681"/>
    <w:rsid w:val="002016DC"/>
    <w:rsid w:val="00201E86"/>
    <w:rsid w:val="00204B68"/>
    <w:rsid w:val="00206BF7"/>
    <w:rsid w:val="00206D3F"/>
    <w:rsid w:val="00210711"/>
    <w:rsid w:val="0022112C"/>
    <w:rsid w:val="0022389A"/>
    <w:rsid w:val="00224848"/>
    <w:rsid w:val="002256E4"/>
    <w:rsid w:val="002360F3"/>
    <w:rsid w:val="00241A06"/>
    <w:rsid w:val="0024252F"/>
    <w:rsid w:val="002465B6"/>
    <w:rsid w:val="00255CD1"/>
    <w:rsid w:val="00257491"/>
    <w:rsid w:val="00257B51"/>
    <w:rsid w:val="002601A7"/>
    <w:rsid w:val="002606BB"/>
    <w:rsid w:val="002607AD"/>
    <w:rsid w:val="00262B24"/>
    <w:rsid w:val="00267B2B"/>
    <w:rsid w:val="00267DF4"/>
    <w:rsid w:val="0027268F"/>
    <w:rsid w:val="00274534"/>
    <w:rsid w:val="002749A6"/>
    <w:rsid w:val="00275023"/>
    <w:rsid w:val="002751AE"/>
    <w:rsid w:val="0027687D"/>
    <w:rsid w:val="002801DA"/>
    <w:rsid w:val="00284B91"/>
    <w:rsid w:val="00285C57"/>
    <w:rsid w:val="00286C72"/>
    <w:rsid w:val="00286D84"/>
    <w:rsid w:val="00292E1D"/>
    <w:rsid w:val="00294CAC"/>
    <w:rsid w:val="00295DF8"/>
    <w:rsid w:val="002A761A"/>
    <w:rsid w:val="002B35A1"/>
    <w:rsid w:val="002B39CF"/>
    <w:rsid w:val="002B595F"/>
    <w:rsid w:val="002B61FC"/>
    <w:rsid w:val="002B7C5D"/>
    <w:rsid w:val="002B7FC7"/>
    <w:rsid w:val="002C0D5F"/>
    <w:rsid w:val="002C22C0"/>
    <w:rsid w:val="002C2686"/>
    <w:rsid w:val="002C3ADC"/>
    <w:rsid w:val="002C4D8F"/>
    <w:rsid w:val="002C56D1"/>
    <w:rsid w:val="002C5909"/>
    <w:rsid w:val="002D2ABF"/>
    <w:rsid w:val="002D388F"/>
    <w:rsid w:val="002D46F3"/>
    <w:rsid w:val="002D727F"/>
    <w:rsid w:val="002E0E1D"/>
    <w:rsid w:val="002E1205"/>
    <w:rsid w:val="002E19BE"/>
    <w:rsid w:val="002E1FE9"/>
    <w:rsid w:val="002E6AE4"/>
    <w:rsid w:val="002E7238"/>
    <w:rsid w:val="002E7617"/>
    <w:rsid w:val="002F1FC2"/>
    <w:rsid w:val="002F2521"/>
    <w:rsid w:val="002F42C7"/>
    <w:rsid w:val="002F7DB3"/>
    <w:rsid w:val="003000F9"/>
    <w:rsid w:val="0030121B"/>
    <w:rsid w:val="003037E4"/>
    <w:rsid w:val="0030684E"/>
    <w:rsid w:val="00306AEF"/>
    <w:rsid w:val="003112AE"/>
    <w:rsid w:val="00313BEE"/>
    <w:rsid w:val="00314C93"/>
    <w:rsid w:val="0031579D"/>
    <w:rsid w:val="00316613"/>
    <w:rsid w:val="00316D17"/>
    <w:rsid w:val="003170E1"/>
    <w:rsid w:val="0031769F"/>
    <w:rsid w:val="00320A10"/>
    <w:rsid w:val="00320FAB"/>
    <w:rsid w:val="003210A4"/>
    <w:rsid w:val="003217D2"/>
    <w:rsid w:val="00323AA6"/>
    <w:rsid w:val="00330723"/>
    <w:rsid w:val="00332AE9"/>
    <w:rsid w:val="00332C23"/>
    <w:rsid w:val="00333306"/>
    <w:rsid w:val="00334EBE"/>
    <w:rsid w:val="0033713D"/>
    <w:rsid w:val="00340C39"/>
    <w:rsid w:val="003448FD"/>
    <w:rsid w:val="00345FA8"/>
    <w:rsid w:val="00352811"/>
    <w:rsid w:val="00353A17"/>
    <w:rsid w:val="003556DE"/>
    <w:rsid w:val="00355F13"/>
    <w:rsid w:val="00360777"/>
    <w:rsid w:val="003610C7"/>
    <w:rsid w:val="00362F8E"/>
    <w:rsid w:val="0036388A"/>
    <w:rsid w:val="003659B1"/>
    <w:rsid w:val="00366092"/>
    <w:rsid w:val="00371AF6"/>
    <w:rsid w:val="00373B0D"/>
    <w:rsid w:val="003814F0"/>
    <w:rsid w:val="00382B4F"/>
    <w:rsid w:val="00383BCE"/>
    <w:rsid w:val="00384025"/>
    <w:rsid w:val="003847F2"/>
    <w:rsid w:val="00390552"/>
    <w:rsid w:val="003915F0"/>
    <w:rsid w:val="00393872"/>
    <w:rsid w:val="00394FA0"/>
    <w:rsid w:val="003954E2"/>
    <w:rsid w:val="003A1A13"/>
    <w:rsid w:val="003A1CC7"/>
    <w:rsid w:val="003A4778"/>
    <w:rsid w:val="003B2DC4"/>
    <w:rsid w:val="003B330F"/>
    <w:rsid w:val="003B430C"/>
    <w:rsid w:val="003B5C5B"/>
    <w:rsid w:val="003C33B5"/>
    <w:rsid w:val="003C4E4A"/>
    <w:rsid w:val="003C6046"/>
    <w:rsid w:val="003D114F"/>
    <w:rsid w:val="003D2293"/>
    <w:rsid w:val="003D3DEB"/>
    <w:rsid w:val="003D6205"/>
    <w:rsid w:val="003D6922"/>
    <w:rsid w:val="003D6C2F"/>
    <w:rsid w:val="003E1F4C"/>
    <w:rsid w:val="003E4C10"/>
    <w:rsid w:val="003E4F66"/>
    <w:rsid w:val="003E4FE0"/>
    <w:rsid w:val="003E54BF"/>
    <w:rsid w:val="003E5590"/>
    <w:rsid w:val="003E7B10"/>
    <w:rsid w:val="003F1EE5"/>
    <w:rsid w:val="003F5DFD"/>
    <w:rsid w:val="003F5E45"/>
    <w:rsid w:val="003F6608"/>
    <w:rsid w:val="003F6C1E"/>
    <w:rsid w:val="00410C36"/>
    <w:rsid w:val="00413F1F"/>
    <w:rsid w:val="004161F1"/>
    <w:rsid w:val="0041662C"/>
    <w:rsid w:val="00417CEA"/>
    <w:rsid w:val="004240C5"/>
    <w:rsid w:val="00424A50"/>
    <w:rsid w:val="00425D7B"/>
    <w:rsid w:val="004306B8"/>
    <w:rsid w:val="00432AA8"/>
    <w:rsid w:val="004354CF"/>
    <w:rsid w:val="00437D7E"/>
    <w:rsid w:val="00440B76"/>
    <w:rsid w:val="004469C9"/>
    <w:rsid w:val="00447B5C"/>
    <w:rsid w:val="00453024"/>
    <w:rsid w:val="00455D05"/>
    <w:rsid w:val="00456104"/>
    <w:rsid w:val="0046041E"/>
    <w:rsid w:val="0046127E"/>
    <w:rsid w:val="00461BCB"/>
    <w:rsid w:val="004627C5"/>
    <w:rsid w:val="00464987"/>
    <w:rsid w:val="00466B71"/>
    <w:rsid w:val="0046744E"/>
    <w:rsid w:val="00467649"/>
    <w:rsid w:val="00467E36"/>
    <w:rsid w:val="004705F0"/>
    <w:rsid w:val="00470E9C"/>
    <w:rsid w:val="00471C4A"/>
    <w:rsid w:val="0047267E"/>
    <w:rsid w:val="00472E79"/>
    <w:rsid w:val="00476AAC"/>
    <w:rsid w:val="0048316C"/>
    <w:rsid w:val="00483573"/>
    <w:rsid w:val="00486F9B"/>
    <w:rsid w:val="00487F09"/>
    <w:rsid w:val="00490B73"/>
    <w:rsid w:val="004959A0"/>
    <w:rsid w:val="004A029A"/>
    <w:rsid w:val="004A242B"/>
    <w:rsid w:val="004A3C9C"/>
    <w:rsid w:val="004A3FF1"/>
    <w:rsid w:val="004A4A2C"/>
    <w:rsid w:val="004A725A"/>
    <w:rsid w:val="004B0A93"/>
    <w:rsid w:val="004B0DF0"/>
    <w:rsid w:val="004B1698"/>
    <w:rsid w:val="004C4388"/>
    <w:rsid w:val="004C4BC0"/>
    <w:rsid w:val="004C5C4E"/>
    <w:rsid w:val="004D2F9F"/>
    <w:rsid w:val="004D3860"/>
    <w:rsid w:val="004D66B1"/>
    <w:rsid w:val="004D6FAB"/>
    <w:rsid w:val="004E366D"/>
    <w:rsid w:val="004F122D"/>
    <w:rsid w:val="004F37FD"/>
    <w:rsid w:val="004F5FE2"/>
    <w:rsid w:val="004F7CF4"/>
    <w:rsid w:val="005003FB"/>
    <w:rsid w:val="00500A84"/>
    <w:rsid w:val="00500A92"/>
    <w:rsid w:val="005161D7"/>
    <w:rsid w:val="00517625"/>
    <w:rsid w:val="00517EE9"/>
    <w:rsid w:val="00522C4A"/>
    <w:rsid w:val="00524E0C"/>
    <w:rsid w:val="005253D2"/>
    <w:rsid w:val="00526016"/>
    <w:rsid w:val="00527C06"/>
    <w:rsid w:val="005305BF"/>
    <w:rsid w:val="005336BD"/>
    <w:rsid w:val="0053502B"/>
    <w:rsid w:val="00535358"/>
    <w:rsid w:val="00535DAC"/>
    <w:rsid w:val="00535FF7"/>
    <w:rsid w:val="00537E0E"/>
    <w:rsid w:val="005478CE"/>
    <w:rsid w:val="00547AA3"/>
    <w:rsid w:val="0055062E"/>
    <w:rsid w:val="005506AC"/>
    <w:rsid w:val="0055116E"/>
    <w:rsid w:val="00553F96"/>
    <w:rsid w:val="00554C4D"/>
    <w:rsid w:val="00555FAE"/>
    <w:rsid w:val="005570B8"/>
    <w:rsid w:val="00562340"/>
    <w:rsid w:val="00565510"/>
    <w:rsid w:val="00566C74"/>
    <w:rsid w:val="00571DE8"/>
    <w:rsid w:val="00572D88"/>
    <w:rsid w:val="00575B69"/>
    <w:rsid w:val="00577146"/>
    <w:rsid w:val="00581430"/>
    <w:rsid w:val="0058159A"/>
    <w:rsid w:val="00585A13"/>
    <w:rsid w:val="00587806"/>
    <w:rsid w:val="005927D9"/>
    <w:rsid w:val="00593185"/>
    <w:rsid w:val="00594672"/>
    <w:rsid w:val="00595648"/>
    <w:rsid w:val="00595752"/>
    <w:rsid w:val="005A096D"/>
    <w:rsid w:val="005A0A20"/>
    <w:rsid w:val="005A2364"/>
    <w:rsid w:val="005A393A"/>
    <w:rsid w:val="005A3EE9"/>
    <w:rsid w:val="005A64BE"/>
    <w:rsid w:val="005B422D"/>
    <w:rsid w:val="005B49DE"/>
    <w:rsid w:val="005B551E"/>
    <w:rsid w:val="005B5767"/>
    <w:rsid w:val="005C0185"/>
    <w:rsid w:val="005C100D"/>
    <w:rsid w:val="005C1187"/>
    <w:rsid w:val="005C2953"/>
    <w:rsid w:val="005C2BA1"/>
    <w:rsid w:val="005C6280"/>
    <w:rsid w:val="005C6FF8"/>
    <w:rsid w:val="005D4311"/>
    <w:rsid w:val="005D50BA"/>
    <w:rsid w:val="005D74A1"/>
    <w:rsid w:val="005E0A56"/>
    <w:rsid w:val="005E10C0"/>
    <w:rsid w:val="005E1BF4"/>
    <w:rsid w:val="005E3496"/>
    <w:rsid w:val="005E4415"/>
    <w:rsid w:val="005E6F6A"/>
    <w:rsid w:val="005F4FD9"/>
    <w:rsid w:val="00600CEC"/>
    <w:rsid w:val="0060535E"/>
    <w:rsid w:val="006053DD"/>
    <w:rsid w:val="00606ABC"/>
    <w:rsid w:val="00606DDE"/>
    <w:rsid w:val="0061151D"/>
    <w:rsid w:val="00612073"/>
    <w:rsid w:val="00612197"/>
    <w:rsid w:val="00615EAF"/>
    <w:rsid w:val="0061669E"/>
    <w:rsid w:val="00621A01"/>
    <w:rsid w:val="00621A68"/>
    <w:rsid w:val="00623518"/>
    <w:rsid w:val="00630BA5"/>
    <w:rsid w:val="00632089"/>
    <w:rsid w:val="00633AD6"/>
    <w:rsid w:val="006367B4"/>
    <w:rsid w:val="00637985"/>
    <w:rsid w:val="00637C7A"/>
    <w:rsid w:val="0064361E"/>
    <w:rsid w:val="00643F49"/>
    <w:rsid w:val="00644D34"/>
    <w:rsid w:val="00646132"/>
    <w:rsid w:val="00650059"/>
    <w:rsid w:val="006513A8"/>
    <w:rsid w:val="00652497"/>
    <w:rsid w:val="00652BFB"/>
    <w:rsid w:val="0065453D"/>
    <w:rsid w:val="006546EF"/>
    <w:rsid w:val="00654FA6"/>
    <w:rsid w:val="006558EC"/>
    <w:rsid w:val="006614E0"/>
    <w:rsid w:val="0066560C"/>
    <w:rsid w:val="00671718"/>
    <w:rsid w:val="00675B4C"/>
    <w:rsid w:val="006761C3"/>
    <w:rsid w:val="00676235"/>
    <w:rsid w:val="0068177E"/>
    <w:rsid w:val="006835B8"/>
    <w:rsid w:val="00685283"/>
    <w:rsid w:val="00687853"/>
    <w:rsid w:val="00693349"/>
    <w:rsid w:val="00694A83"/>
    <w:rsid w:val="006A16EC"/>
    <w:rsid w:val="006A2948"/>
    <w:rsid w:val="006A684F"/>
    <w:rsid w:val="006B06B1"/>
    <w:rsid w:val="006B39E8"/>
    <w:rsid w:val="006B46A9"/>
    <w:rsid w:val="006B5D24"/>
    <w:rsid w:val="006C407F"/>
    <w:rsid w:val="006C4F18"/>
    <w:rsid w:val="006C7962"/>
    <w:rsid w:val="006D165B"/>
    <w:rsid w:val="006D3882"/>
    <w:rsid w:val="006D4CDB"/>
    <w:rsid w:val="006D4DD4"/>
    <w:rsid w:val="006D590B"/>
    <w:rsid w:val="006D7AE7"/>
    <w:rsid w:val="006E307D"/>
    <w:rsid w:val="006E3B74"/>
    <w:rsid w:val="006E7010"/>
    <w:rsid w:val="006F20F2"/>
    <w:rsid w:val="006F4305"/>
    <w:rsid w:val="00702864"/>
    <w:rsid w:val="00703621"/>
    <w:rsid w:val="00704820"/>
    <w:rsid w:val="00707F89"/>
    <w:rsid w:val="00710D64"/>
    <w:rsid w:val="00713F2E"/>
    <w:rsid w:val="007154F8"/>
    <w:rsid w:val="007157AB"/>
    <w:rsid w:val="007157BB"/>
    <w:rsid w:val="007203AA"/>
    <w:rsid w:val="0072171D"/>
    <w:rsid w:val="0072172F"/>
    <w:rsid w:val="007272E6"/>
    <w:rsid w:val="00727CBC"/>
    <w:rsid w:val="007306D4"/>
    <w:rsid w:val="007338F3"/>
    <w:rsid w:val="00733AF7"/>
    <w:rsid w:val="007346E4"/>
    <w:rsid w:val="00737499"/>
    <w:rsid w:val="007374D5"/>
    <w:rsid w:val="00745820"/>
    <w:rsid w:val="0074651B"/>
    <w:rsid w:val="00747CB2"/>
    <w:rsid w:val="00752811"/>
    <w:rsid w:val="00753F10"/>
    <w:rsid w:val="0075441F"/>
    <w:rsid w:val="0076006A"/>
    <w:rsid w:val="00762826"/>
    <w:rsid w:val="007641B2"/>
    <w:rsid w:val="007643C5"/>
    <w:rsid w:val="007652E4"/>
    <w:rsid w:val="00765F34"/>
    <w:rsid w:val="007662D2"/>
    <w:rsid w:val="007672CB"/>
    <w:rsid w:val="007733A0"/>
    <w:rsid w:val="00776079"/>
    <w:rsid w:val="007772C3"/>
    <w:rsid w:val="00782C8F"/>
    <w:rsid w:val="00784399"/>
    <w:rsid w:val="00785021"/>
    <w:rsid w:val="00787CAF"/>
    <w:rsid w:val="00794492"/>
    <w:rsid w:val="007A02A7"/>
    <w:rsid w:val="007A13D9"/>
    <w:rsid w:val="007A1B8F"/>
    <w:rsid w:val="007A2FEC"/>
    <w:rsid w:val="007A4233"/>
    <w:rsid w:val="007A5E84"/>
    <w:rsid w:val="007A62E5"/>
    <w:rsid w:val="007B0735"/>
    <w:rsid w:val="007B2B43"/>
    <w:rsid w:val="007B3CAF"/>
    <w:rsid w:val="007B4C7D"/>
    <w:rsid w:val="007B520D"/>
    <w:rsid w:val="007B674C"/>
    <w:rsid w:val="007C1F03"/>
    <w:rsid w:val="007C1F1C"/>
    <w:rsid w:val="007C3E42"/>
    <w:rsid w:val="007C4AD2"/>
    <w:rsid w:val="007C5772"/>
    <w:rsid w:val="007D0D76"/>
    <w:rsid w:val="007D13CC"/>
    <w:rsid w:val="007D5481"/>
    <w:rsid w:val="007E1567"/>
    <w:rsid w:val="007E1BEC"/>
    <w:rsid w:val="007E2B61"/>
    <w:rsid w:val="007E416E"/>
    <w:rsid w:val="007E668D"/>
    <w:rsid w:val="007F0087"/>
    <w:rsid w:val="007F124E"/>
    <w:rsid w:val="007F17D5"/>
    <w:rsid w:val="007F3B6C"/>
    <w:rsid w:val="007F5F39"/>
    <w:rsid w:val="0080443D"/>
    <w:rsid w:val="00810ABA"/>
    <w:rsid w:val="00812AD7"/>
    <w:rsid w:val="00816168"/>
    <w:rsid w:val="00816700"/>
    <w:rsid w:val="00817BA9"/>
    <w:rsid w:val="00820674"/>
    <w:rsid w:val="00821B11"/>
    <w:rsid w:val="00822DFB"/>
    <w:rsid w:val="00825882"/>
    <w:rsid w:val="00831EDA"/>
    <w:rsid w:val="00832359"/>
    <w:rsid w:val="008350A2"/>
    <w:rsid w:val="008354C4"/>
    <w:rsid w:val="008355F5"/>
    <w:rsid w:val="008367CA"/>
    <w:rsid w:val="00840EAF"/>
    <w:rsid w:val="00843393"/>
    <w:rsid w:val="00843437"/>
    <w:rsid w:val="00843FEF"/>
    <w:rsid w:val="0084748C"/>
    <w:rsid w:val="00847F25"/>
    <w:rsid w:val="0085074B"/>
    <w:rsid w:val="00851315"/>
    <w:rsid w:val="008536CD"/>
    <w:rsid w:val="0085702F"/>
    <w:rsid w:val="00857FF4"/>
    <w:rsid w:val="0086086D"/>
    <w:rsid w:val="00861770"/>
    <w:rsid w:val="008619ED"/>
    <w:rsid w:val="00861F86"/>
    <w:rsid w:val="00865062"/>
    <w:rsid w:val="00865603"/>
    <w:rsid w:val="00866621"/>
    <w:rsid w:val="00871AF5"/>
    <w:rsid w:val="00871FF6"/>
    <w:rsid w:val="0087497D"/>
    <w:rsid w:val="00880633"/>
    <w:rsid w:val="0088686F"/>
    <w:rsid w:val="00887C29"/>
    <w:rsid w:val="00890B7E"/>
    <w:rsid w:val="00890FA3"/>
    <w:rsid w:val="0089444D"/>
    <w:rsid w:val="00894C9C"/>
    <w:rsid w:val="00895D2E"/>
    <w:rsid w:val="008A0AD5"/>
    <w:rsid w:val="008A1FF5"/>
    <w:rsid w:val="008A4BD8"/>
    <w:rsid w:val="008A5569"/>
    <w:rsid w:val="008A561F"/>
    <w:rsid w:val="008A6643"/>
    <w:rsid w:val="008A7370"/>
    <w:rsid w:val="008B0391"/>
    <w:rsid w:val="008B160C"/>
    <w:rsid w:val="008B257C"/>
    <w:rsid w:val="008B658F"/>
    <w:rsid w:val="008C1830"/>
    <w:rsid w:val="008C2A93"/>
    <w:rsid w:val="008C4606"/>
    <w:rsid w:val="008C5439"/>
    <w:rsid w:val="008C5728"/>
    <w:rsid w:val="008C5922"/>
    <w:rsid w:val="008C7315"/>
    <w:rsid w:val="008C76A0"/>
    <w:rsid w:val="008D02FB"/>
    <w:rsid w:val="008D0662"/>
    <w:rsid w:val="008D0A4D"/>
    <w:rsid w:val="008D3164"/>
    <w:rsid w:val="008D4539"/>
    <w:rsid w:val="008E0442"/>
    <w:rsid w:val="008E0AA9"/>
    <w:rsid w:val="008E0E8D"/>
    <w:rsid w:val="008E18F3"/>
    <w:rsid w:val="008E5D93"/>
    <w:rsid w:val="008F07BE"/>
    <w:rsid w:val="008F0DDC"/>
    <w:rsid w:val="008F16B4"/>
    <w:rsid w:val="008F3603"/>
    <w:rsid w:val="008F4E03"/>
    <w:rsid w:val="008F51F5"/>
    <w:rsid w:val="008F548D"/>
    <w:rsid w:val="008F61ED"/>
    <w:rsid w:val="008F7C3C"/>
    <w:rsid w:val="00901F3C"/>
    <w:rsid w:val="009066C8"/>
    <w:rsid w:val="009078FC"/>
    <w:rsid w:val="00911CB2"/>
    <w:rsid w:val="009147FA"/>
    <w:rsid w:val="0091584C"/>
    <w:rsid w:val="009164F9"/>
    <w:rsid w:val="00916A93"/>
    <w:rsid w:val="00921113"/>
    <w:rsid w:val="00924370"/>
    <w:rsid w:val="00924854"/>
    <w:rsid w:val="00930B62"/>
    <w:rsid w:val="00932FF1"/>
    <w:rsid w:val="00935690"/>
    <w:rsid w:val="00936BE3"/>
    <w:rsid w:val="00941428"/>
    <w:rsid w:val="00941E1F"/>
    <w:rsid w:val="00942B0A"/>
    <w:rsid w:val="00942F2F"/>
    <w:rsid w:val="00945790"/>
    <w:rsid w:val="009460EC"/>
    <w:rsid w:val="00950776"/>
    <w:rsid w:val="00957615"/>
    <w:rsid w:val="009617E4"/>
    <w:rsid w:val="009645CE"/>
    <w:rsid w:val="00964E29"/>
    <w:rsid w:val="00967801"/>
    <w:rsid w:val="00967E7D"/>
    <w:rsid w:val="00972CAF"/>
    <w:rsid w:val="00977D15"/>
    <w:rsid w:val="00980EF0"/>
    <w:rsid w:val="00981B40"/>
    <w:rsid w:val="00982724"/>
    <w:rsid w:val="0098342C"/>
    <w:rsid w:val="00983477"/>
    <w:rsid w:val="0098631E"/>
    <w:rsid w:val="00986A42"/>
    <w:rsid w:val="009875CC"/>
    <w:rsid w:val="00990151"/>
    <w:rsid w:val="00992E42"/>
    <w:rsid w:val="00996F52"/>
    <w:rsid w:val="0099712F"/>
    <w:rsid w:val="009A0833"/>
    <w:rsid w:val="009A0C1B"/>
    <w:rsid w:val="009A17B8"/>
    <w:rsid w:val="009A2517"/>
    <w:rsid w:val="009A45AF"/>
    <w:rsid w:val="009A6115"/>
    <w:rsid w:val="009B0683"/>
    <w:rsid w:val="009B4046"/>
    <w:rsid w:val="009B66A7"/>
    <w:rsid w:val="009C11A8"/>
    <w:rsid w:val="009C2A29"/>
    <w:rsid w:val="009C3849"/>
    <w:rsid w:val="009C42ED"/>
    <w:rsid w:val="009D197C"/>
    <w:rsid w:val="009D3DBC"/>
    <w:rsid w:val="009D46B0"/>
    <w:rsid w:val="009D5BB0"/>
    <w:rsid w:val="009D5E04"/>
    <w:rsid w:val="009E013C"/>
    <w:rsid w:val="009E0C54"/>
    <w:rsid w:val="009E17B5"/>
    <w:rsid w:val="009E22D0"/>
    <w:rsid w:val="009E5F77"/>
    <w:rsid w:val="009F0863"/>
    <w:rsid w:val="009F21FE"/>
    <w:rsid w:val="009F476E"/>
    <w:rsid w:val="009F6EB8"/>
    <w:rsid w:val="009F73F6"/>
    <w:rsid w:val="009F7B95"/>
    <w:rsid w:val="009F7D88"/>
    <w:rsid w:val="00A00AE5"/>
    <w:rsid w:val="00A01E3F"/>
    <w:rsid w:val="00A073CE"/>
    <w:rsid w:val="00A10DAA"/>
    <w:rsid w:val="00A10F29"/>
    <w:rsid w:val="00A15CAF"/>
    <w:rsid w:val="00A21637"/>
    <w:rsid w:val="00A2276A"/>
    <w:rsid w:val="00A24F2E"/>
    <w:rsid w:val="00A25F8B"/>
    <w:rsid w:val="00A264A4"/>
    <w:rsid w:val="00A3061C"/>
    <w:rsid w:val="00A33338"/>
    <w:rsid w:val="00A350FC"/>
    <w:rsid w:val="00A35920"/>
    <w:rsid w:val="00A3752E"/>
    <w:rsid w:val="00A4031A"/>
    <w:rsid w:val="00A46AB9"/>
    <w:rsid w:val="00A47344"/>
    <w:rsid w:val="00A51460"/>
    <w:rsid w:val="00A522BC"/>
    <w:rsid w:val="00A54756"/>
    <w:rsid w:val="00A64764"/>
    <w:rsid w:val="00A6747F"/>
    <w:rsid w:val="00A71036"/>
    <w:rsid w:val="00A71F3C"/>
    <w:rsid w:val="00A743AD"/>
    <w:rsid w:val="00A767EC"/>
    <w:rsid w:val="00A76AE4"/>
    <w:rsid w:val="00A8100C"/>
    <w:rsid w:val="00A810DB"/>
    <w:rsid w:val="00A86355"/>
    <w:rsid w:val="00A87CFC"/>
    <w:rsid w:val="00A92389"/>
    <w:rsid w:val="00A93E6B"/>
    <w:rsid w:val="00A94FA6"/>
    <w:rsid w:val="00A9572F"/>
    <w:rsid w:val="00A95B06"/>
    <w:rsid w:val="00A9648D"/>
    <w:rsid w:val="00AA2A49"/>
    <w:rsid w:val="00AA414D"/>
    <w:rsid w:val="00AA6C89"/>
    <w:rsid w:val="00AA7919"/>
    <w:rsid w:val="00AB05D9"/>
    <w:rsid w:val="00AB1223"/>
    <w:rsid w:val="00AC181F"/>
    <w:rsid w:val="00AC2394"/>
    <w:rsid w:val="00AC6B06"/>
    <w:rsid w:val="00AC6D58"/>
    <w:rsid w:val="00AD5398"/>
    <w:rsid w:val="00AD544C"/>
    <w:rsid w:val="00AD70D1"/>
    <w:rsid w:val="00AE0D93"/>
    <w:rsid w:val="00AE12F2"/>
    <w:rsid w:val="00AE3C9F"/>
    <w:rsid w:val="00AE438D"/>
    <w:rsid w:val="00AF0107"/>
    <w:rsid w:val="00AF1398"/>
    <w:rsid w:val="00AF6EFD"/>
    <w:rsid w:val="00B011A9"/>
    <w:rsid w:val="00B032CB"/>
    <w:rsid w:val="00B034A0"/>
    <w:rsid w:val="00B04F44"/>
    <w:rsid w:val="00B07A76"/>
    <w:rsid w:val="00B10E34"/>
    <w:rsid w:val="00B14E8D"/>
    <w:rsid w:val="00B16F43"/>
    <w:rsid w:val="00B17894"/>
    <w:rsid w:val="00B21482"/>
    <w:rsid w:val="00B21B9D"/>
    <w:rsid w:val="00B226F8"/>
    <w:rsid w:val="00B251C6"/>
    <w:rsid w:val="00B31571"/>
    <w:rsid w:val="00B34582"/>
    <w:rsid w:val="00B35504"/>
    <w:rsid w:val="00B35862"/>
    <w:rsid w:val="00B3761D"/>
    <w:rsid w:val="00B418FA"/>
    <w:rsid w:val="00B51DD7"/>
    <w:rsid w:val="00B548EF"/>
    <w:rsid w:val="00B64394"/>
    <w:rsid w:val="00B67D54"/>
    <w:rsid w:val="00B71FE4"/>
    <w:rsid w:val="00B7246F"/>
    <w:rsid w:val="00B728AF"/>
    <w:rsid w:val="00B74970"/>
    <w:rsid w:val="00B81392"/>
    <w:rsid w:val="00B8164F"/>
    <w:rsid w:val="00B8178D"/>
    <w:rsid w:val="00B841F1"/>
    <w:rsid w:val="00B84D36"/>
    <w:rsid w:val="00B87388"/>
    <w:rsid w:val="00B90E98"/>
    <w:rsid w:val="00B923C2"/>
    <w:rsid w:val="00B92580"/>
    <w:rsid w:val="00B94D39"/>
    <w:rsid w:val="00B95812"/>
    <w:rsid w:val="00BA0B8C"/>
    <w:rsid w:val="00BA3353"/>
    <w:rsid w:val="00BA3A6B"/>
    <w:rsid w:val="00BA3D7A"/>
    <w:rsid w:val="00BA406A"/>
    <w:rsid w:val="00BA4AB1"/>
    <w:rsid w:val="00BA51B8"/>
    <w:rsid w:val="00BB0837"/>
    <w:rsid w:val="00BB0B4A"/>
    <w:rsid w:val="00BB0C25"/>
    <w:rsid w:val="00BB10C2"/>
    <w:rsid w:val="00BB251C"/>
    <w:rsid w:val="00BB5035"/>
    <w:rsid w:val="00BB637A"/>
    <w:rsid w:val="00BB7CC8"/>
    <w:rsid w:val="00BC0110"/>
    <w:rsid w:val="00BC32DC"/>
    <w:rsid w:val="00BC4AFE"/>
    <w:rsid w:val="00BC5902"/>
    <w:rsid w:val="00BC72F3"/>
    <w:rsid w:val="00BC764D"/>
    <w:rsid w:val="00BD0379"/>
    <w:rsid w:val="00BD0F44"/>
    <w:rsid w:val="00BD194E"/>
    <w:rsid w:val="00BD2832"/>
    <w:rsid w:val="00BD6CAA"/>
    <w:rsid w:val="00BE34BB"/>
    <w:rsid w:val="00BE44FB"/>
    <w:rsid w:val="00BF0B65"/>
    <w:rsid w:val="00BF36A9"/>
    <w:rsid w:val="00BF3F2C"/>
    <w:rsid w:val="00BF4ABD"/>
    <w:rsid w:val="00BF523F"/>
    <w:rsid w:val="00C02B31"/>
    <w:rsid w:val="00C03268"/>
    <w:rsid w:val="00C0389A"/>
    <w:rsid w:val="00C03FED"/>
    <w:rsid w:val="00C051DE"/>
    <w:rsid w:val="00C06A4E"/>
    <w:rsid w:val="00C14277"/>
    <w:rsid w:val="00C15201"/>
    <w:rsid w:val="00C22AFF"/>
    <w:rsid w:val="00C23C2C"/>
    <w:rsid w:val="00C24224"/>
    <w:rsid w:val="00C24CEC"/>
    <w:rsid w:val="00C2631D"/>
    <w:rsid w:val="00C2668D"/>
    <w:rsid w:val="00C31069"/>
    <w:rsid w:val="00C3130D"/>
    <w:rsid w:val="00C32645"/>
    <w:rsid w:val="00C32B26"/>
    <w:rsid w:val="00C3324B"/>
    <w:rsid w:val="00C35AF0"/>
    <w:rsid w:val="00C3761B"/>
    <w:rsid w:val="00C37774"/>
    <w:rsid w:val="00C42770"/>
    <w:rsid w:val="00C4282F"/>
    <w:rsid w:val="00C44146"/>
    <w:rsid w:val="00C4587F"/>
    <w:rsid w:val="00C47F96"/>
    <w:rsid w:val="00C52AD8"/>
    <w:rsid w:val="00C60939"/>
    <w:rsid w:val="00C62988"/>
    <w:rsid w:val="00C64A1C"/>
    <w:rsid w:val="00C656C1"/>
    <w:rsid w:val="00C71538"/>
    <w:rsid w:val="00C73933"/>
    <w:rsid w:val="00C76502"/>
    <w:rsid w:val="00C76DC1"/>
    <w:rsid w:val="00C7728B"/>
    <w:rsid w:val="00C809DD"/>
    <w:rsid w:val="00C82E5F"/>
    <w:rsid w:val="00C84D1F"/>
    <w:rsid w:val="00C84E7C"/>
    <w:rsid w:val="00C86655"/>
    <w:rsid w:val="00C92DF7"/>
    <w:rsid w:val="00C93643"/>
    <w:rsid w:val="00C93BD1"/>
    <w:rsid w:val="00C97D2F"/>
    <w:rsid w:val="00CA122A"/>
    <w:rsid w:val="00CA708D"/>
    <w:rsid w:val="00CB00B6"/>
    <w:rsid w:val="00CB0BAE"/>
    <w:rsid w:val="00CB1A39"/>
    <w:rsid w:val="00CB49EC"/>
    <w:rsid w:val="00CB5860"/>
    <w:rsid w:val="00CC0BDF"/>
    <w:rsid w:val="00CC1341"/>
    <w:rsid w:val="00CC27FC"/>
    <w:rsid w:val="00CC4C88"/>
    <w:rsid w:val="00CD072E"/>
    <w:rsid w:val="00CD3907"/>
    <w:rsid w:val="00CD60CF"/>
    <w:rsid w:val="00CE2F4F"/>
    <w:rsid w:val="00CE57E1"/>
    <w:rsid w:val="00CE7FDA"/>
    <w:rsid w:val="00CF2798"/>
    <w:rsid w:val="00CF4DC3"/>
    <w:rsid w:val="00CF5FE0"/>
    <w:rsid w:val="00CF70C7"/>
    <w:rsid w:val="00D04E0E"/>
    <w:rsid w:val="00D071A9"/>
    <w:rsid w:val="00D10AC8"/>
    <w:rsid w:val="00D14278"/>
    <w:rsid w:val="00D224BF"/>
    <w:rsid w:val="00D24167"/>
    <w:rsid w:val="00D24EE6"/>
    <w:rsid w:val="00D25D90"/>
    <w:rsid w:val="00D32E48"/>
    <w:rsid w:val="00D35CB9"/>
    <w:rsid w:val="00D35F0F"/>
    <w:rsid w:val="00D37122"/>
    <w:rsid w:val="00D408E3"/>
    <w:rsid w:val="00D41ADB"/>
    <w:rsid w:val="00D41DF0"/>
    <w:rsid w:val="00D42644"/>
    <w:rsid w:val="00D4279A"/>
    <w:rsid w:val="00D4349B"/>
    <w:rsid w:val="00D4398B"/>
    <w:rsid w:val="00D4559C"/>
    <w:rsid w:val="00D46595"/>
    <w:rsid w:val="00D46CB2"/>
    <w:rsid w:val="00D47051"/>
    <w:rsid w:val="00D478BD"/>
    <w:rsid w:val="00D47B2F"/>
    <w:rsid w:val="00D512A8"/>
    <w:rsid w:val="00D51387"/>
    <w:rsid w:val="00D5139A"/>
    <w:rsid w:val="00D5381C"/>
    <w:rsid w:val="00D57E99"/>
    <w:rsid w:val="00D7271E"/>
    <w:rsid w:val="00D74606"/>
    <w:rsid w:val="00D754BF"/>
    <w:rsid w:val="00D77946"/>
    <w:rsid w:val="00D800CB"/>
    <w:rsid w:val="00D835A0"/>
    <w:rsid w:val="00D85576"/>
    <w:rsid w:val="00D85C26"/>
    <w:rsid w:val="00D86238"/>
    <w:rsid w:val="00D86DFF"/>
    <w:rsid w:val="00D91687"/>
    <w:rsid w:val="00D9180E"/>
    <w:rsid w:val="00D918BC"/>
    <w:rsid w:val="00D920EA"/>
    <w:rsid w:val="00D927A5"/>
    <w:rsid w:val="00D9415F"/>
    <w:rsid w:val="00D94ECE"/>
    <w:rsid w:val="00D95060"/>
    <w:rsid w:val="00D95418"/>
    <w:rsid w:val="00DA2805"/>
    <w:rsid w:val="00DA359A"/>
    <w:rsid w:val="00DA5CDC"/>
    <w:rsid w:val="00DA6A05"/>
    <w:rsid w:val="00DB5F74"/>
    <w:rsid w:val="00DC0189"/>
    <w:rsid w:val="00DC099E"/>
    <w:rsid w:val="00DC1D67"/>
    <w:rsid w:val="00DC2074"/>
    <w:rsid w:val="00DC2B12"/>
    <w:rsid w:val="00DC42D6"/>
    <w:rsid w:val="00DD1A0B"/>
    <w:rsid w:val="00DD2A20"/>
    <w:rsid w:val="00DD40DA"/>
    <w:rsid w:val="00DD5B5E"/>
    <w:rsid w:val="00DD66AB"/>
    <w:rsid w:val="00DD7021"/>
    <w:rsid w:val="00DD76E3"/>
    <w:rsid w:val="00DE2973"/>
    <w:rsid w:val="00DE4A8C"/>
    <w:rsid w:val="00DE6325"/>
    <w:rsid w:val="00DF095B"/>
    <w:rsid w:val="00DF0EE9"/>
    <w:rsid w:val="00DF3855"/>
    <w:rsid w:val="00DF3AF7"/>
    <w:rsid w:val="00DF59E3"/>
    <w:rsid w:val="00DF6263"/>
    <w:rsid w:val="00DF75A9"/>
    <w:rsid w:val="00E0420D"/>
    <w:rsid w:val="00E05151"/>
    <w:rsid w:val="00E05DBB"/>
    <w:rsid w:val="00E100F4"/>
    <w:rsid w:val="00E10855"/>
    <w:rsid w:val="00E10A4E"/>
    <w:rsid w:val="00E10B26"/>
    <w:rsid w:val="00E14C6B"/>
    <w:rsid w:val="00E22675"/>
    <w:rsid w:val="00E242C6"/>
    <w:rsid w:val="00E272A9"/>
    <w:rsid w:val="00E3032A"/>
    <w:rsid w:val="00E32218"/>
    <w:rsid w:val="00E34232"/>
    <w:rsid w:val="00E372EA"/>
    <w:rsid w:val="00E37908"/>
    <w:rsid w:val="00E4347E"/>
    <w:rsid w:val="00E45D07"/>
    <w:rsid w:val="00E53456"/>
    <w:rsid w:val="00E54F93"/>
    <w:rsid w:val="00E5551B"/>
    <w:rsid w:val="00E55E5B"/>
    <w:rsid w:val="00E6000E"/>
    <w:rsid w:val="00E64A2C"/>
    <w:rsid w:val="00E64D6E"/>
    <w:rsid w:val="00E65995"/>
    <w:rsid w:val="00E678D7"/>
    <w:rsid w:val="00E70045"/>
    <w:rsid w:val="00E71A94"/>
    <w:rsid w:val="00E73EC2"/>
    <w:rsid w:val="00E74472"/>
    <w:rsid w:val="00E764E9"/>
    <w:rsid w:val="00E775B7"/>
    <w:rsid w:val="00E80778"/>
    <w:rsid w:val="00E82785"/>
    <w:rsid w:val="00E84150"/>
    <w:rsid w:val="00E8416D"/>
    <w:rsid w:val="00E94074"/>
    <w:rsid w:val="00E96AF4"/>
    <w:rsid w:val="00EA6304"/>
    <w:rsid w:val="00EB0856"/>
    <w:rsid w:val="00EB232D"/>
    <w:rsid w:val="00EB2AA3"/>
    <w:rsid w:val="00EB2D8E"/>
    <w:rsid w:val="00EB5176"/>
    <w:rsid w:val="00EC0CD7"/>
    <w:rsid w:val="00EC3B0E"/>
    <w:rsid w:val="00EC5000"/>
    <w:rsid w:val="00EC5ACA"/>
    <w:rsid w:val="00EC635B"/>
    <w:rsid w:val="00ED0B5C"/>
    <w:rsid w:val="00ED1164"/>
    <w:rsid w:val="00ED28A9"/>
    <w:rsid w:val="00ED3375"/>
    <w:rsid w:val="00EE0A3C"/>
    <w:rsid w:val="00EE3308"/>
    <w:rsid w:val="00EE4217"/>
    <w:rsid w:val="00EE4745"/>
    <w:rsid w:val="00EE54FC"/>
    <w:rsid w:val="00EE625D"/>
    <w:rsid w:val="00EF0018"/>
    <w:rsid w:val="00EF3DEF"/>
    <w:rsid w:val="00EF690F"/>
    <w:rsid w:val="00F01231"/>
    <w:rsid w:val="00F01928"/>
    <w:rsid w:val="00F04D2B"/>
    <w:rsid w:val="00F07606"/>
    <w:rsid w:val="00F1017E"/>
    <w:rsid w:val="00F1064D"/>
    <w:rsid w:val="00F153E6"/>
    <w:rsid w:val="00F1613A"/>
    <w:rsid w:val="00F16261"/>
    <w:rsid w:val="00F17ED6"/>
    <w:rsid w:val="00F23F7E"/>
    <w:rsid w:val="00F240BE"/>
    <w:rsid w:val="00F245D9"/>
    <w:rsid w:val="00F25760"/>
    <w:rsid w:val="00F265CD"/>
    <w:rsid w:val="00F30D01"/>
    <w:rsid w:val="00F32E3D"/>
    <w:rsid w:val="00F338DD"/>
    <w:rsid w:val="00F33BAF"/>
    <w:rsid w:val="00F3411A"/>
    <w:rsid w:val="00F360D5"/>
    <w:rsid w:val="00F3744D"/>
    <w:rsid w:val="00F37E4F"/>
    <w:rsid w:val="00F42663"/>
    <w:rsid w:val="00F439BB"/>
    <w:rsid w:val="00F46F79"/>
    <w:rsid w:val="00F47327"/>
    <w:rsid w:val="00F47EA8"/>
    <w:rsid w:val="00F50FA9"/>
    <w:rsid w:val="00F51268"/>
    <w:rsid w:val="00F54FA3"/>
    <w:rsid w:val="00F55ACE"/>
    <w:rsid w:val="00F56CCB"/>
    <w:rsid w:val="00F63067"/>
    <w:rsid w:val="00F63703"/>
    <w:rsid w:val="00F64DD8"/>
    <w:rsid w:val="00F67AC7"/>
    <w:rsid w:val="00F71256"/>
    <w:rsid w:val="00F71EE2"/>
    <w:rsid w:val="00F72109"/>
    <w:rsid w:val="00F7322F"/>
    <w:rsid w:val="00F74730"/>
    <w:rsid w:val="00F76EA0"/>
    <w:rsid w:val="00F774BC"/>
    <w:rsid w:val="00F77748"/>
    <w:rsid w:val="00F77FF9"/>
    <w:rsid w:val="00F83D98"/>
    <w:rsid w:val="00F849A3"/>
    <w:rsid w:val="00F85433"/>
    <w:rsid w:val="00F86EB1"/>
    <w:rsid w:val="00F95050"/>
    <w:rsid w:val="00F97998"/>
    <w:rsid w:val="00FA17DD"/>
    <w:rsid w:val="00FA395A"/>
    <w:rsid w:val="00FA43AE"/>
    <w:rsid w:val="00FA45E0"/>
    <w:rsid w:val="00FB0520"/>
    <w:rsid w:val="00FB23CB"/>
    <w:rsid w:val="00FB31F7"/>
    <w:rsid w:val="00FB3B2F"/>
    <w:rsid w:val="00FB5497"/>
    <w:rsid w:val="00FB5706"/>
    <w:rsid w:val="00FB5FFF"/>
    <w:rsid w:val="00FB663A"/>
    <w:rsid w:val="00FC2DD9"/>
    <w:rsid w:val="00FC2F42"/>
    <w:rsid w:val="00FC33F2"/>
    <w:rsid w:val="00FC5AD1"/>
    <w:rsid w:val="00FC6EBE"/>
    <w:rsid w:val="00FD0EBC"/>
    <w:rsid w:val="00FD1275"/>
    <w:rsid w:val="00FD42C9"/>
    <w:rsid w:val="00FD5349"/>
    <w:rsid w:val="00FE3BC3"/>
    <w:rsid w:val="00FE461A"/>
    <w:rsid w:val="00FE4684"/>
    <w:rsid w:val="00FE5A4D"/>
    <w:rsid w:val="00FF297F"/>
    <w:rsid w:val="00FF3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42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42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F42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42C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linetitle">
    <w:name w:val="underlinetitle"/>
    <w:basedOn w:val="a"/>
    <w:rsid w:val="002F42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5557">
      <w:bodyDiv w:val="1"/>
      <w:marLeft w:val="0"/>
      <w:marRight w:val="0"/>
      <w:marTop w:val="0"/>
      <w:marBottom w:val="0"/>
      <w:divBdr>
        <w:top w:val="none" w:sz="0" w:space="0" w:color="auto"/>
        <w:left w:val="none" w:sz="0" w:space="0" w:color="auto"/>
        <w:bottom w:val="none" w:sz="0" w:space="0" w:color="auto"/>
        <w:right w:val="none" w:sz="0" w:space="0" w:color="auto"/>
      </w:divBdr>
      <w:divsChild>
        <w:div w:id="1478378403">
          <w:marLeft w:val="0"/>
          <w:marRight w:val="0"/>
          <w:marTop w:val="9705"/>
          <w:marBottom w:val="0"/>
          <w:divBdr>
            <w:top w:val="none" w:sz="0" w:space="0" w:color="auto"/>
            <w:left w:val="none" w:sz="0" w:space="0" w:color="auto"/>
            <w:bottom w:val="none" w:sz="0" w:space="0" w:color="auto"/>
            <w:right w:val="none" w:sz="0" w:space="0" w:color="auto"/>
          </w:divBdr>
          <w:divsChild>
            <w:div w:id="1209226542">
              <w:marLeft w:val="0"/>
              <w:marRight w:val="0"/>
              <w:marTop w:val="0"/>
              <w:marBottom w:val="0"/>
              <w:divBdr>
                <w:top w:val="none" w:sz="0" w:space="0" w:color="auto"/>
                <w:left w:val="none" w:sz="0" w:space="0" w:color="auto"/>
                <w:bottom w:val="none" w:sz="0" w:space="0" w:color="auto"/>
                <w:right w:val="none" w:sz="0" w:space="0" w:color="auto"/>
              </w:divBdr>
              <w:divsChild>
                <w:div w:id="1838110561">
                  <w:marLeft w:val="0"/>
                  <w:marRight w:val="0"/>
                  <w:marTop w:val="0"/>
                  <w:marBottom w:val="0"/>
                  <w:divBdr>
                    <w:top w:val="none" w:sz="0" w:space="0" w:color="auto"/>
                    <w:left w:val="none" w:sz="0" w:space="0" w:color="auto"/>
                    <w:bottom w:val="none" w:sz="0" w:space="0" w:color="auto"/>
                    <w:right w:val="none" w:sz="0" w:space="0" w:color="auto"/>
                  </w:divBdr>
                  <w:divsChild>
                    <w:div w:id="1807777520">
                      <w:marLeft w:val="0"/>
                      <w:marRight w:val="0"/>
                      <w:marTop w:val="0"/>
                      <w:marBottom w:val="0"/>
                      <w:divBdr>
                        <w:top w:val="none" w:sz="0" w:space="0" w:color="auto"/>
                        <w:left w:val="none" w:sz="0" w:space="0" w:color="auto"/>
                        <w:bottom w:val="none" w:sz="0" w:space="0" w:color="auto"/>
                        <w:right w:val="none" w:sz="0" w:space="0" w:color="auto"/>
                      </w:divBdr>
                      <w:divsChild>
                        <w:div w:id="1821995149">
                          <w:marLeft w:val="0"/>
                          <w:marRight w:val="0"/>
                          <w:marTop w:val="0"/>
                          <w:marBottom w:val="0"/>
                          <w:divBdr>
                            <w:top w:val="none" w:sz="0" w:space="0" w:color="auto"/>
                            <w:left w:val="none" w:sz="0" w:space="0" w:color="auto"/>
                            <w:bottom w:val="none" w:sz="0" w:space="0" w:color="auto"/>
                            <w:right w:val="none" w:sz="0" w:space="0" w:color="auto"/>
                          </w:divBdr>
                          <w:divsChild>
                            <w:div w:id="1992637460">
                              <w:marLeft w:val="0"/>
                              <w:marRight w:val="0"/>
                              <w:marTop w:val="0"/>
                              <w:marBottom w:val="0"/>
                              <w:divBdr>
                                <w:top w:val="none" w:sz="0" w:space="0" w:color="auto"/>
                                <w:left w:val="none" w:sz="0" w:space="0" w:color="auto"/>
                                <w:bottom w:val="none" w:sz="0" w:space="0" w:color="auto"/>
                                <w:right w:val="none" w:sz="0" w:space="0" w:color="auto"/>
                              </w:divBdr>
                              <w:divsChild>
                                <w:div w:id="14034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1841</Words>
  <Characters>10496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2014-07-07T05:13:00Z</dcterms:created>
  <dcterms:modified xsi:type="dcterms:W3CDTF">2014-07-07T05:14:00Z</dcterms:modified>
</cp:coreProperties>
</file>