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1C79B1" w:rsidRDefault="009D1DB4" w:rsidP="00254639">
      <w:pPr>
        <w:pStyle w:val="a7"/>
        <w:spacing w:before="0" w:after="0"/>
        <w:jc w:val="both"/>
      </w:pPr>
      <w:r w:rsidRPr="001C79B1">
        <w:t>«</w:t>
      </w:r>
    </w:p>
    <w:tbl>
      <w:tblPr>
        <w:tblpPr w:leftFromText="180" w:rightFromText="180" w:vertAnchor="text" w:horzAnchor="page" w:tblpX="959" w:tblpY="69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1179"/>
        <w:gridCol w:w="1367"/>
        <w:gridCol w:w="1139"/>
        <w:gridCol w:w="851"/>
      </w:tblGrid>
      <w:tr w:rsidR="00E2789A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Аналитическая подпрограмма «Финансовое обеспечение предоставления дошкольного и общего образования в частных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17040,75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17040,75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254639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</w:t>
      </w:r>
      <w:r w:rsidR="009452E5">
        <w:t xml:space="preserve">        </w:t>
      </w:r>
      <w:r>
        <w:t xml:space="preserve"> 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B6A53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536C-B60C-4800-89C8-C0453771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2015-12-03T08:09:00Z</dcterms:modified>
</cp:coreProperties>
</file>