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2B13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0" w:name="Par366"/>
      <w:bookmarkEnd w:id="0"/>
      <w:r>
        <w:rPr>
          <w:rFonts w:ascii="Times New Roman" w:hAnsi="Times New Roman"/>
          <w:sz w:val="24"/>
          <w:szCs w:val="24"/>
        </w:rPr>
        <w:t>«Таблица 4. Показатели, характеризующие содержание территорий общего пользования городских кладбищ</w:t>
      </w:r>
    </w:p>
    <w:p w:rsidR="002B1319" w:rsidRDefault="002B1319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"/>
        <w:gridCol w:w="3766"/>
        <w:gridCol w:w="900"/>
        <w:gridCol w:w="655"/>
        <w:gridCol w:w="657"/>
        <w:gridCol w:w="995"/>
        <w:gridCol w:w="998"/>
        <w:gridCol w:w="1221"/>
      </w:tblGrid>
      <w:tr w:rsidR="002B1319">
        <w:trPr>
          <w:cantSplit/>
          <w:jc w:val="center"/>
        </w:trPr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2012, факт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2013, факт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2014, оценка</w:t>
            </w:r>
          </w:p>
        </w:tc>
      </w:tr>
      <w:tr w:rsidR="002B1319">
        <w:trPr>
          <w:cantSplit/>
          <w:jc w:val="center"/>
        </w:trPr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Площадь территории городских кладбищ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 кв. м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2397,29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2577,41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2519,84</w:t>
            </w:r>
          </w:p>
        </w:tc>
      </w:tr>
      <w:tr w:rsidR="002B1319">
        <w:trPr>
          <w:cantSplit/>
          <w:jc w:val="center"/>
        </w:trPr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Площадь территории воинских захоронений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кв. м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8678,0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8678,0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8678,0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8678,0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16278,0</w:t>
            </w:r>
          </w:p>
        </w:tc>
      </w:tr>
    </w:tbl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966421" w:rsidRDefault="00966421">
      <w:pPr>
        <w:widowControl w:val="0"/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1" w:name="_GoBack"/>
      <w:bookmarkEnd w:id="1"/>
    </w:p>
    <w:sectPr w:rsidR="00966421" w:rsidSect="00C97BE3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C97BE3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D87B-0ECC-4BF0-8F7C-D23C2070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2014-10-28T10:00:00Z</dcterms:modified>
  <dc:language>ru-RU</dc:language>
</cp:coreProperties>
</file>