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4382"/>
        <w:gridCol w:w="1701"/>
        <w:gridCol w:w="1039"/>
        <w:gridCol w:w="1039"/>
        <w:gridCol w:w="1040"/>
      </w:tblGrid>
      <w:tr w:rsidR="00DE5771" w:rsidRPr="00D02DB5" w:rsidTr="00A34D5F">
        <w:trPr>
          <w:trHeight w:val="473"/>
          <w:tblCellSpacing w:w="5" w:type="nil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DE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Аналитическая </w:t>
            </w:r>
            <w:hyperlink w:anchor="Par290" w:history="1">
              <w:r w:rsidRPr="00D02DB5">
                <w:rPr>
                  <w:rFonts w:ascii="Times New Roman" w:hAnsi="Times New Roman"/>
                </w:rPr>
                <w:t>подпрограмма</w:t>
              </w:r>
            </w:hyperlink>
            <w:r w:rsidRPr="00D02DB5">
              <w:rPr>
                <w:rFonts w:ascii="Times New Roman" w:hAnsi="Times New Roman"/>
              </w:rPr>
              <w:t xml:space="preserve"> «Библиотечное обслуживание населения»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Комитет  по культуре</w:t>
            </w:r>
          </w:p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Администрации</w:t>
            </w:r>
          </w:p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49 400,60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45 882,40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44 400,00</w:t>
            </w:r>
          </w:p>
        </w:tc>
      </w:tr>
      <w:tr w:rsidR="00DE5771" w:rsidRPr="00D02DB5" w:rsidTr="00A34D5F">
        <w:trPr>
          <w:trHeight w:val="268"/>
          <w:tblCellSpacing w:w="5" w:type="nil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бюджет города    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47 166,00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45 016,20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44 400,00</w:t>
            </w:r>
          </w:p>
        </w:tc>
      </w:tr>
      <w:tr w:rsidR="00DE5771" w:rsidRPr="00D02DB5" w:rsidTr="00A34D5F">
        <w:trPr>
          <w:trHeight w:val="323"/>
          <w:tblCellSpacing w:w="5" w:type="nil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областной бюджет 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2 234,60*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866,20*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71" w:rsidRPr="00D02DB5" w:rsidRDefault="00DE5771" w:rsidP="00A8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</w:tr>
    </w:tbl>
    <w:p w:rsidR="00A34C61" w:rsidRDefault="00A34C61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A34C61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A301C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E99A-E99D-48A4-B2F4-267F335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2014-10-13T13:07:00Z</dcterms:modified>
</cp:coreProperties>
</file>