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8" w:rsidRDefault="004C58E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1</w:t>
      </w:r>
    </w:p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"Благоустройство города Иванова"</w:t>
      </w:r>
    </w:p>
    <w:p w:rsidR="002B1319" w:rsidRDefault="002B13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8E8" w:rsidRDefault="004C58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823"/>
      <w:bookmarkEnd w:id="0"/>
      <w:r>
        <w:rPr>
          <w:rFonts w:ascii="Times New Roman" w:hAnsi="Times New Roman"/>
          <w:sz w:val="24"/>
          <w:szCs w:val="24"/>
        </w:rPr>
        <w:t>Аналитическая подпрограмма "Организация функционирования</w:t>
      </w:r>
    </w:p>
    <w:p w:rsidR="002B1319" w:rsidRDefault="004C58E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автомобильных дорог общего пользования"</w:t>
      </w:r>
    </w:p>
    <w:p w:rsidR="002B1319" w:rsidRDefault="002B131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319" w:rsidRDefault="002B131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- 2014 - 2017 годы</w:t>
      </w:r>
    </w:p>
    <w:p w:rsidR="002B1319" w:rsidRDefault="002B131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831"/>
      <w:bookmarkEnd w:id="1"/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ежегодно обеспечить: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улично-дорожной сети города общей площадью 7,1 млн. кв. м, включая регулярную круглогодичную уборку (3,0 млн. кв. м зимой и 2,5 млн. кв. м летом);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мостов и путепроводов общей площадью почти 12 тыс. кв. м;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около 80 км ливневой канализации;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рабочего состояния 2 светофорных объектов.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подпрограммы будет обеспечен текущий ремонт </w:t>
      </w:r>
      <w:r>
        <w:rPr>
          <w:rFonts w:ascii="Times New Roman" w:hAnsi="Times New Roman"/>
          <w:sz w:val="24"/>
          <w:szCs w:val="24"/>
          <w:shd w:val="clear" w:color="auto" w:fill="FFFFFF"/>
        </w:rPr>
        <w:t>345,5</w:t>
      </w:r>
      <w:r>
        <w:rPr>
          <w:rFonts w:ascii="Times New Roman" w:hAnsi="Times New Roman"/>
          <w:sz w:val="24"/>
          <w:szCs w:val="24"/>
        </w:rPr>
        <w:t xml:space="preserve"> тыс. кв. м дорожного покрытия автомобильных дорог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118,67</w:t>
      </w:r>
      <w:r>
        <w:rPr>
          <w:rFonts w:ascii="Times New Roman" w:hAnsi="Times New Roman"/>
          <w:sz w:val="24"/>
          <w:szCs w:val="24"/>
        </w:rPr>
        <w:t xml:space="preserve"> тыс. кв. м тротуаров, а также устройство 2 новых светофорных объектов.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провести ремонтные работы, включая работы капитального характера, в отношении почти 510,79 тыс. кв. м дорожного полотна, что к концу 2017 года обеспечит сокращение доли дорожного покрытия, не соответствующего нормативным требованиям до 44,22 %.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Иванова.</w:t>
      </w:r>
    </w:p>
    <w:p w:rsidR="004C58E8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58E8" w:rsidRDefault="004C58E8" w:rsidP="00776422">
      <w:pPr>
        <w:widowControl w:val="0"/>
        <w:spacing w:after="0" w:line="240" w:lineRule="auto"/>
        <w:rPr>
          <w:rFonts w:ascii="Times New Roman" w:hAnsi="Times New Roman"/>
        </w:rPr>
      </w:pPr>
    </w:p>
    <w:p w:rsidR="002B1319" w:rsidRDefault="004C58E8" w:rsidP="004C58E8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" w:name="Par840"/>
      <w:bookmarkEnd w:id="2"/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090"/>
        <w:gridCol w:w="858"/>
        <w:gridCol w:w="786"/>
        <w:gridCol w:w="826"/>
        <w:gridCol w:w="833"/>
        <w:gridCol w:w="835"/>
        <w:gridCol w:w="878"/>
      </w:tblGrid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 факт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 оценка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bookmarkStart w:id="3" w:name="Par850"/>
            <w:bookmarkEnd w:id="3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C58E8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2778,33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3001,45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3001,45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3001,45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3001,45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зимней уборки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противогололедной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за сезон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C58E8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2491,41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2537,99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2537,99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2537,99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2537,99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за сезон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C58E8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1293,52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1302,89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1302,89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1302,89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1302,89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за сезон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11758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11170,55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11170,55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11170,55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81957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82173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78063,5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78063,5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78063,5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C58E8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7102,80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7102,80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7102,80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7102,80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7102,80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C58E8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129,36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58,64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78,75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78,75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C58E8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23,45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5,86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5,86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дорог (площадь дорожного покрытия)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C58E8" w:rsidRDefault="004C5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</w:t>
            </w:r>
          </w:p>
          <w:p w:rsidR="002B1319" w:rsidRDefault="004C5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508,26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118,61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129,11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238,99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142,69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53,00%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51,42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49,60%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46,23%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44,22%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C58E8" w:rsidRDefault="004C5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</w:t>
            </w:r>
          </w:p>
          <w:p w:rsidR="002B1319" w:rsidRDefault="004C5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3770,54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3651,93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3522,82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3283,83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3141,14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bookmarkStart w:id="4" w:name="Par956"/>
            <w:bookmarkEnd w:id="4"/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2B1319">
        <w:trPr>
          <w:cantSplit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</w:tbl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58E8" w:rsidRPr="004C58E8" w:rsidRDefault="004C58E8" w:rsidP="00776422">
      <w:pPr>
        <w:widowControl w:val="0"/>
        <w:spacing w:after="0" w:line="240" w:lineRule="auto"/>
        <w:ind w:firstLine="540"/>
        <w:rPr>
          <w:rFonts w:ascii="Times New Roman" w:hAnsi="Times New Roman"/>
        </w:rPr>
      </w:pP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                       с существенными экономическими, организационными и иными рисками.</w:t>
      </w:r>
    </w:p>
    <w:p w:rsidR="002B1319" w:rsidRDefault="002B131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8E8" w:rsidRDefault="004C58E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969"/>
      <w:bookmarkEnd w:id="5"/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2B1319" w:rsidRDefault="002B131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8E8" w:rsidRDefault="004C58E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Оказание муниципальной услуги "Организация функционирования автомобильных дорог общего пользования".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Муниципальная услуга оказыв</w:t>
      </w:r>
      <w:r>
        <w:rPr>
          <w:rFonts w:ascii="Times New Roman" w:hAnsi="Times New Roman"/>
          <w:color w:val="000000"/>
          <w:sz w:val="24"/>
          <w:szCs w:val="24"/>
        </w:rPr>
        <w:t xml:space="preserve">ается в соответствии с </w:t>
      </w:r>
      <w:hyperlink r:id="rId6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положением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и </w:t>
      </w:r>
      <w:hyperlink r:id="rId7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требованиями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</w:t>
      </w:r>
      <w:r>
        <w:rPr>
          <w:rFonts w:ascii="Times New Roman" w:hAnsi="Times New Roman"/>
          <w:sz w:val="24"/>
          <w:szCs w:val="24"/>
        </w:rPr>
        <w:t>а Иванова от 20.12.2012 N 2920 "Об утверждении требований к качеству муниципальных услуг города Иванова, оказываемых в рамках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заданий".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</w:t>
      </w:r>
      <w:r>
        <w:rPr>
          <w:rFonts w:ascii="Times New Roman" w:hAnsi="Times New Roman"/>
          <w:sz w:val="24"/>
          <w:szCs w:val="24"/>
        </w:rPr>
        <w:lastRenderedPageBreak/>
        <w:t>осуществляется посредством размещения муниципального заказа и заключения муниципальных контрактов.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 2014-2017 годы. Ответственным исполнителем мероприятия является Управление благоустройства Администрации города Иванова.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Муниципальный дорожный фонд города Иванова на проведение капитального ремонта, ремонта автомобильных дорог общего пользования местного значения городского округа Иваново.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автомобильных дорог общего пользования города Иванова, в отношении которых планируется проводить капитальный ремонт и ремонт, ежегодно определяется Администрацией города.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2015-2017 годы. Ответственным исполнителем мероприятия является Управление благоустройства Администрации города Иванова.</w:t>
      </w:r>
    </w:p>
    <w:p w:rsidR="002B1319" w:rsidRDefault="002B1319">
      <w:pPr>
        <w:widowControl w:val="0"/>
        <w:spacing w:after="0" w:line="240" w:lineRule="auto"/>
        <w:ind w:firstLine="540"/>
        <w:jc w:val="both"/>
      </w:pP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6" w:name="Par977"/>
      <w:bookmarkEnd w:id="6"/>
      <w:r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"/>
        <w:gridCol w:w="2231"/>
        <w:gridCol w:w="1719"/>
        <w:gridCol w:w="22"/>
        <w:gridCol w:w="1112"/>
        <w:gridCol w:w="30"/>
        <w:gridCol w:w="1300"/>
        <w:gridCol w:w="25"/>
        <w:gridCol w:w="1302"/>
        <w:gridCol w:w="27"/>
        <w:gridCol w:w="1350"/>
      </w:tblGrid>
      <w:tr w:rsidR="002B1319">
        <w:trPr>
          <w:cantSplit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B1319">
        <w:trPr>
          <w:cantSplit/>
        </w:trPr>
        <w:tc>
          <w:tcPr>
            <w:tcW w:w="43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447 608,14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503 637,70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644 102,50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523 031,14</w:t>
            </w:r>
          </w:p>
        </w:tc>
      </w:tr>
      <w:tr w:rsidR="002B1319">
        <w:trPr>
          <w:cantSplit/>
        </w:trPr>
        <w:tc>
          <w:tcPr>
            <w:tcW w:w="43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447 608,14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503 637,70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__DdeLink__5544_830884672"/>
            <w:bookmarkEnd w:id="7"/>
            <w:r>
              <w:rPr>
                <w:rFonts w:ascii="Times New Roman" w:hAnsi="Times New Roman"/>
                <w:sz w:val="20"/>
                <w:szCs w:val="20"/>
              </w:rPr>
              <w:t>644 102,50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523 031,14</w:t>
            </w:r>
          </w:p>
        </w:tc>
      </w:tr>
      <w:tr w:rsidR="002B1319">
        <w:trPr>
          <w:cantSplit/>
        </w:trPr>
        <w:tc>
          <w:tcPr>
            <w:tcW w:w="43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1319">
        <w:trPr>
          <w:cantSplit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муниципальной услуги "Организация функционирования автомобильных дорог общего пользования"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447 608,14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493 307,00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632 433,60</w:t>
            </w:r>
          </w:p>
        </w:tc>
        <w:tc>
          <w:tcPr>
            <w:tcW w:w="1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510 721,14</w:t>
            </w:r>
          </w:p>
        </w:tc>
      </w:tr>
      <w:tr w:rsidR="002B1319">
        <w:trPr>
          <w:cantSplit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дорожный фонд города Иванова на проведение капитального ремонта, ремонта автомобильных дорог общего пользования местного значения городского округа Иваново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10 330,70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11 668,90</w:t>
            </w:r>
          </w:p>
        </w:tc>
        <w:tc>
          <w:tcPr>
            <w:tcW w:w="1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12 310,00</w:t>
            </w:r>
          </w:p>
        </w:tc>
      </w:tr>
    </w:tbl>
    <w:p w:rsidR="002B1319" w:rsidRDefault="004C58E8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B1319" w:rsidRDefault="002B1319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bookmarkStart w:id="8" w:name="_GoBack"/>
      <w:bookmarkEnd w:id="8"/>
    </w:p>
    <w:sectPr w:rsidR="002B1319" w:rsidSect="00776422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76422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F611542E15829FACE9EAA4450A8A7792452CBF8E677D4FDB40003C4177796038F14E1F80C85DA57849B1hB3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F611542E15829FACE9EAA4450A8A7792452CBF8E657E44DB40003C4177796038F14E1F80C85DA5794BB4hB3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5330-F388-407D-ABD3-6D6E27C5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2014-10-28T10:10:00Z</dcterms:modified>
  <dc:language>ru-RU</dc:language>
</cp:coreProperties>
</file>